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E4A5A" w14:textId="77777777" w:rsidR="00483D78" w:rsidRDefault="00483D78" w:rsidP="00DA1268">
      <w:pPr>
        <w:jc w:val="center"/>
        <w:rPr>
          <w:rFonts w:ascii="Tahoma" w:eastAsia="Times New Roman" w:hAnsi="Tahoma" w:cs="Tahoma"/>
          <w:b/>
          <w:bCs/>
          <w:color w:val="000000"/>
          <w:kern w:val="0"/>
          <w:sz w:val="28"/>
          <w:szCs w:val="28"/>
          <w:lang w:eastAsia="it-IT"/>
          <w14:ligatures w14:val="none"/>
        </w:rPr>
      </w:pPr>
    </w:p>
    <w:p w14:paraId="7E1B64A5" w14:textId="2B291D56" w:rsidR="006A3057" w:rsidRPr="006A3057" w:rsidRDefault="006A3057" w:rsidP="00DA1268">
      <w:pPr>
        <w:jc w:val="center"/>
        <w:rPr>
          <w:rFonts w:ascii="Tahoma" w:eastAsia="Times New Roman" w:hAnsi="Tahoma" w:cs="Tahoma"/>
          <w:b/>
          <w:bCs/>
          <w:color w:val="000000"/>
          <w:kern w:val="0"/>
          <w:sz w:val="28"/>
          <w:szCs w:val="28"/>
          <w:lang w:eastAsia="it-IT"/>
          <w14:ligatures w14:val="none"/>
        </w:rPr>
      </w:pPr>
      <w:r w:rsidRPr="006A3057">
        <w:rPr>
          <w:rFonts w:ascii="Tahoma" w:eastAsia="Times New Roman" w:hAnsi="Tahoma" w:cs="Tahoma"/>
          <w:b/>
          <w:bCs/>
          <w:color w:val="000000"/>
          <w:kern w:val="0"/>
          <w:sz w:val="28"/>
          <w:szCs w:val="28"/>
          <w:lang w:eastAsia="it-IT"/>
          <w14:ligatures w14:val="none"/>
        </w:rPr>
        <w:t>FPS: gli italiani hanno speso 1</w:t>
      </w:r>
      <w:r w:rsidR="004E0DF6">
        <w:rPr>
          <w:rFonts w:ascii="Tahoma" w:eastAsia="Times New Roman" w:hAnsi="Tahoma" w:cs="Tahoma"/>
          <w:b/>
          <w:bCs/>
          <w:color w:val="000000"/>
          <w:kern w:val="0"/>
          <w:sz w:val="28"/>
          <w:szCs w:val="28"/>
          <w:lang w:eastAsia="it-IT"/>
          <w14:ligatures w14:val="none"/>
        </w:rPr>
        <w:t>3</w:t>
      </w:r>
      <w:r w:rsidRPr="006A3057">
        <w:rPr>
          <w:rFonts w:ascii="Tahoma" w:eastAsia="Times New Roman" w:hAnsi="Tahoma" w:cs="Tahoma"/>
          <w:b/>
          <w:bCs/>
          <w:color w:val="000000"/>
          <w:kern w:val="0"/>
          <w:sz w:val="28"/>
          <w:szCs w:val="28"/>
          <w:lang w:eastAsia="it-IT"/>
          <w14:ligatures w14:val="none"/>
        </w:rPr>
        <w:t xml:space="preserve">8 miliardi </w:t>
      </w:r>
      <w:r>
        <w:rPr>
          <w:rFonts w:ascii="Tahoma" w:eastAsia="Times New Roman" w:hAnsi="Tahoma" w:cs="Tahoma"/>
          <w:b/>
          <w:bCs/>
          <w:color w:val="000000"/>
          <w:kern w:val="0"/>
          <w:sz w:val="28"/>
          <w:szCs w:val="28"/>
          <w:lang w:eastAsia="it-IT"/>
          <w14:ligatures w14:val="none"/>
        </w:rPr>
        <w:t xml:space="preserve">€ </w:t>
      </w:r>
      <w:r w:rsidRPr="006A3057">
        <w:rPr>
          <w:rFonts w:ascii="Tahoma" w:eastAsia="Times New Roman" w:hAnsi="Tahoma" w:cs="Tahoma"/>
          <w:b/>
          <w:bCs/>
          <w:color w:val="000000"/>
          <w:kern w:val="0"/>
          <w:sz w:val="28"/>
          <w:szCs w:val="28"/>
          <w:lang w:eastAsia="it-IT"/>
          <w14:ligatures w14:val="none"/>
        </w:rPr>
        <w:t>per salute e assistenza</w:t>
      </w:r>
    </w:p>
    <w:p w14:paraId="63983F35" w14:textId="1A52FA69" w:rsidR="00DA1268" w:rsidRPr="006A3057" w:rsidRDefault="006B337F" w:rsidP="00DA1268">
      <w:pPr>
        <w:jc w:val="center"/>
        <w:rPr>
          <w:rFonts w:ascii="Tahoma" w:eastAsia="Times New Roman" w:hAnsi="Tahoma" w:cs="Tahoma"/>
          <w:b/>
          <w:bCs/>
          <w:color w:val="212121"/>
          <w:kern w:val="0"/>
          <w:sz w:val="28"/>
          <w:szCs w:val="28"/>
          <w:lang w:eastAsia="it-IT"/>
          <w14:ligatures w14:val="none"/>
        </w:rPr>
      </w:pPr>
      <w:r>
        <w:rPr>
          <w:rFonts w:ascii="Tahoma" w:eastAsia="Times New Roman" w:hAnsi="Tahoma" w:cs="Tahoma"/>
          <w:b/>
          <w:bCs/>
          <w:color w:val="000000"/>
          <w:kern w:val="0"/>
          <w:sz w:val="28"/>
          <w:szCs w:val="28"/>
          <w:lang w:eastAsia="it-IT"/>
          <w14:ligatures w14:val="none"/>
        </w:rPr>
        <w:t>W</w:t>
      </w:r>
      <w:r w:rsidR="006A3057" w:rsidRPr="006A3057">
        <w:rPr>
          <w:rFonts w:ascii="Tahoma" w:eastAsia="Times New Roman" w:hAnsi="Tahoma" w:cs="Tahoma"/>
          <w:b/>
          <w:bCs/>
          <w:color w:val="000000"/>
          <w:kern w:val="0"/>
          <w:sz w:val="28"/>
          <w:szCs w:val="28"/>
          <w:lang w:eastAsia="it-IT"/>
          <w14:ligatures w14:val="none"/>
        </w:rPr>
        <w:t xml:space="preserve">elfare </w:t>
      </w:r>
      <w:r>
        <w:rPr>
          <w:rFonts w:ascii="Tahoma" w:eastAsia="Times New Roman" w:hAnsi="Tahoma" w:cs="Tahoma"/>
          <w:b/>
          <w:bCs/>
          <w:color w:val="000000"/>
          <w:kern w:val="0"/>
          <w:sz w:val="28"/>
          <w:szCs w:val="28"/>
          <w:lang w:eastAsia="it-IT"/>
          <w14:ligatures w14:val="none"/>
        </w:rPr>
        <w:t xml:space="preserve">territoriale da riorganizzare </w:t>
      </w:r>
      <w:r w:rsidR="006A3057" w:rsidRPr="006A3057">
        <w:rPr>
          <w:rFonts w:ascii="Tahoma" w:eastAsia="Times New Roman" w:hAnsi="Tahoma" w:cs="Tahoma"/>
          <w:b/>
          <w:bCs/>
          <w:color w:val="000000"/>
          <w:kern w:val="0"/>
          <w:sz w:val="28"/>
          <w:szCs w:val="28"/>
          <w:lang w:eastAsia="it-IT"/>
          <w14:ligatures w14:val="none"/>
        </w:rPr>
        <w:t xml:space="preserve">per </w:t>
      </w:r>
      <w:r w:rsidR="00DA1268" w:rsidRPr="006A3057">
        <w:rPr>
          <w:rFonts w:ascii="Tahoma" w:eastAsia="Times New Roman" w:hAnsi="Tahoma" w:cs="Tahoma"/>
          <w:b/>
          <w:bCs/>
          <w:color w:val="000000"/>
          <w:kern w:val="0"/>
          <w:sz w:val="28"/>
          <w:szCs w:val="28"/>
          <w:lang w:eastAsia="it-IT"/>
          <w14:ligatures w14:val="none"/>
        </w:rPr>
        <w:t xml:space="preserve">garantire </w:t>
      </w:r>
      <w:r w:rsidR="00AB3C1D">
        <w:rPr>
          <w:rFonts w:ascii="Tahoma" w:eastAsia="Times New Roman" w:hAnsi="Tahoma" w:cs="Tahoma"/>
          <w:b/>
          <w:bCs/>
          <w:color w:val="000000"/>
          <w:kern w:val="0"/>
          <w:sz w:val="28"/>
          <w:szCs w:val="28"/>
          <w:lang w:eastAsia="it-IT"/>
          <w14:ligatures w14:val="none"/>
        </w:rPr>
        <w:t xml:space="preserve">servizi di </w:t>
      </w:r>
      <w:r w:rsidR="00DA1268" w:rsidRPr="006A3057">
        <w:rPr>
          <w:rFonts w:ascii="Tahoma" w:eastAsia="Times New Roman" w:hAnsi="Tahoma" w:cs="Tahoma"/>
          <w:b/>
          <w:bCs/>
          <w:color w:val="000000"/>
          <w:kern w:val="0"/>
          <w:sz w:val="28"/>
          <w:szCs w:val="28"/>
          <w:lang w:eastAsia="it-IT"/>
          <w14:ligatures w14:val="none"/>
        </w:rPr>
        <w:t>qualità</w:t>
      </w:r>
    </w:p>
    <w:p w14:paraId="3D77ED2A" w14:textId="77777777" w:rsidR="006A3057" w:rsidRDefault="006A3057" w:rsidP="003B34FF">
      <w:pPr>
        <w:jc w:val="both"/>
        <w:rPr>
          <w:rFonts w:ascii="Tahoma" w:hAnsi="Tahoma" w:cs="Tahoma"/>
        </w:rPr>
      </w:pPr>
    </w:p>
    <w:p w14:paraId="1C3655D3" w14:textId="05154D63" w:rsidR="00F21266" w:rsidRPr="004E0DF6" w:rsidRDefault="00D938AD" w:rsidP="003B34FF">
      <w:pPr>
        <w:jc w:val="both"/>
        <w:rPr>
          <w:rFonts w:ascii="Tahoma" w:hAnsi="Tahoma" w:cs="Tahoma"/>
        </w:rPr>
      </w:pPr>
      <w:r w:rsidRPr="004E0DF6">
        <w:rPr>
          <w:rFonts w:ascii="Tahoma" w:hAnsi="Tahoma" w:cs="Tahoma"/>
        </w:rPr>
        <w:t xml:space="preserve">La spesa privata degli italiani </w:t>
      </w:r>
      <w:r w:rsidR="00F21266" w:rsidRPr="004E0DF6">
        <w:rPr>
          <w:rFonts w:ascii="Tahoma" w:hAnsi="Tahoma" w:cs="Tahoma"/>
        </w:rPr>
        <w:t xml:space="preserve">per il “welfare familiare” (salute e assistenza ad anziani e disabili) nel 2024 è stata di </w:t>
      </w:r>
      <w:r w:rsidR="00C35AA8" w:rsidRPr="004E0DF6">
        <w:rPr>
          <w:rFonts w:ascii="Tahoma" w:hAnsi="Tahoma" w:cs="Tahoma"/>
        </w:rPr>
        <w:t xml:space="preserve">circa </w:t>
      </w:r>
      <w:r w:rsidR="00F21266" w:rsidRPr="004E0DF6">
        <w:rPr>
          <w:rFonts w:ascii="Tahoma" w:hAnsi="Tahoma" w:cs="Tahoma"/>
        </w:rPr>
        <w:t xml:space="preserve">138 miliardi </w:t>
      </w:r>
      <w:r w:rsidR="00C35AA8" w:rsidRPr="004E0DF6">
        <w:rPr>
          <w:rFonts w:ascii="Tahoma" w:hAnsi="Tahoma" w:cs="Tahoma"/>
        </w:rPr>
        <w:t xml:space="preserve">di </w:t>
      </w:r>
      <w:r w:rsidR="00F21266" w:rsidRPr="004E0DF6">
        <w:rPr>
          <w:rFonts w:ascii="Tahoma" w:hAnsi="Tahoma" w:cs="Tahoma"/>
        </w:rPr>
        <w:t>€, ovvero quasi 5.400 € per ciascun nucleo.</w:t>
      </w:r>
    </w:p>
    <w:p w14:paraId="7A4B36B6" w14:textId="0C5808B1" w:rsidR="007672C5" w:rsidRDefault="007672C5" w:rsidP="003B34FF">
      <w:pPr>
        <w:jc w:val="both"/>
        <w:rPr>
          <w:rFonts w:ascii="Tahoma" w:hAnsi="Tahoma" w:cs="Tahoma"/>
        </w:rPr>
      </w:pPr>
      <w:r w:rsidRPr="003B34FF">
        <w:rPr>
          <w:rFonts w:ascii="Tahoma" w:hAnsi="Tahoma" w:cs="Tahoma"/>
        </w:rPr>
        <w:t xml:space="preserve">Un impegno </w:t>
      </w:r>
      <w:r w:rsidR="00486188" w:rsidRPr="003B34FF">
        <w:rPr>
          <w:rFonts w:ascii="Tahoma" w:hAnsi="Tahoma" w:cs="Tahoma"/>
        </w:rPr>
        <w:t>consistente,</w:t>
      </w:r>
      <w:r w:rsidRPr="003B34FF">
        <w:rPr>
          <w:rFonts w:ascii="Tahoma" w:hAnsi="Tahoma" w:cs="Tahoma"/>
        </w:rPr>
        <w:t xml:space="preserve"> che colma il vuoto lasciato in molti settori dall’intervento pubblico. Anche se la Penisola è al secondo posto in Europa per la spesa sociale, con circa 6</w:t>
      </w:r>
      <w:r w:rsidR="00136A78" w:rsidRPr="003B34FF">
        <w:rPr>
          <w:rFonts w:ascii="Tahoma" w:hAnsi="Tahoma" w:cs="Tahoma"/>
        </w:rPr>
        <w:t>20</w:t>
      </w:r>
      <w:r w:rsidRPr="003B34FF">
        <w:rPr>
          <w:rFonts w:ascii="Tahoma" w:hAnsi="Tahoma" w:cs="Tahoma"/>
        </w:rPr>
        <w:t xml:space="preserve"> miliardi di euro, pari al 30% del prodotto interno lordo.</w:t>
      </w:r>
    </w:p>
    <w:p w14:paraId="10F3CCFB" w14:textId="77777777" w:rsidR="005D57FF" w:rsidRPr="003B34FF" w:rsidRDefault="005D57FF" w:rsidP="003B34FF">
      <w:pPr>
        <w:jc w:val="both"/>
        <w:rPr>
          <w:rFonts w:ascii="Tahoma" w:hAnsi="Tahoma" w:cs="Tahoma"/>
        </w:rPr>
      </w:pPr>
    </w:p>
    <w:p w14:paraId="327ED7BC" w14:textId="77777777" w:rsidR="007672C5" w:rsidRPr="003B34FF" w:rsidRDefault="007672C5" w:rsidP="003B34FF">
      <w:pPr>
        <w:jc w:val="both"/>
        <w:rPr>
          <w:rFonts w:ascii="Tahoma" w:eastAsia="Times New Roman" w:hAnsi="Tahoma" w:cs="Tahoma"/>
          <w:color w:val="212121"/>
          <w:kern w:val="0"/>
          <w:lang w:eastAsia="it-IT"/>
          <w14:ligatures w14:val="none"/>
        </w:rPr>
      </w:pPr>
      <w:r w:rsidRPr="003B34FF">
        <w:rPr>
          <w:rFonts w:ascii="Tahoma" w:eastAsia="Times New Roman" w:hAnsi="Tahoma" w:cs="Tahoma"/>
          <w:color w:val="000000"/>
          <w:kern w:val="0"/>
          <w:lang w:eastAsia="it-IT"/>
          <w14:ligatures w14:val="none"/>
        </w:rPr>
        <w:t>È quanto emerge dal Rapporto della Fondazione per la Sussidiarietà (FPS), “Sussidiarietà e… welfare territoriale”, presentato oggi a Roma al Centro Convegni Carlo Azeglio Ciampi della Banca d’Italia. All’incontro, aperto dal Governatore della Banca d’Italia</w:t>
      </w:r>
      <w:r w:rsidRPr="003B34FF">
        <w:rPr>
          <w:rFonts w:ascii="Tahoma" w:eastAsia="Times New Roman" w:hAnsi="Tahoma" w:cs="Tahoma"/>
          <w:color w:val="212121"/>
          <w:kern w:val="0"/>
          <w:lang w:eastAsia="it-IT"/>
          <w14:ligatures w14:val="none"/>
        </w:rPr>
        <w:t>, Fabio Panetta, intervengono Giorgio Vittadini, Presidente della Fondazione per la Sussidiarietà, Lilia Cavallari, Presidente Ufficio Parlamentare di Bilancio, Francesco Maria Chelli, Presidente Istat, </w:t>
      </w:r>
      <w:proofErr w:type="spellStart"/>
      <w:r w:rsidRPr="003B34FF">
        <w:rPr>
          <w:rFonts w:ascii="Tahoma" w:eastAsia="Times New Roman" w:hAnsi="Tahoma" w:cs="Tahoma"/>
          <w:color w:val="212121"/>
          <w:kern w:val="0"/>
          <w:lang w:eastAsia="it-IT"/>
          <w14:ligatures w14:val="none"/>
        </w:rPr>
        <w:t>Pierciro</w:t>
      </w:r>
      <w:proofErr w:type="spellEnd"/>
      <w:r w:rsidRPr="003B34FF">
        <w:rPr>
          <w:rFonts w:ascii="Tahoma" w:eastAsia="Times New Roman" w:hAnsi="Tahoma" w:cs="Tahoma"/>
          <w:color w:val="212121"/>
          <w:kern w:val="0"/>
          <w:lang w:eastAsia="it-IT"/>
          <w14:ligatures w14:val="none"/>
        </w:rPr>
        <w:t> Galeone, Direttore IFEL, Daria Perrotta, Ragioniere Generale dello Stato, e Lorenza Violini, Professoressa di Diritto Costituzionale all’Università degli Studi di Milano.</w:t>
      </w:r>
    </w:p>
    <w:p w14:paraId="00CEB19A" w14:textId="77777777" w:rsidR="000D5098" w:rsidRPr="004E0DF6" w:rsidRDefault="000D5098" w:rsidP="003B34FF">
      <w:pPr>
        <w:jc w:val="both"/>
        <w:rPr>
          <w:rFonts w:ascii="Tahoma" w:eastAsia="Times New Roman" w:hAnsi="Tahoma" w:cs="Tahoma"/>
          <w:color w:val="212121"/>
          <w:kern w:val="0"/>
          <w:lang w:eastAsia="it-IT"/>
          <w14:ligatures w14:val="none"/>
        </w:rPr>
      </w:pPr>
    </w:p>
    <w:p w14:paraId="6A6D4B48" w14:textId="066D130C" w:rsidR="003E0249" w:rsidRPr="004E0DF6" w:rsidRDefault="003751AD" w:rsidP="003B34FF">
      <w:pPr>
        <w:jc w:val="both"/>
        <w:rPr>
          <w:rFonts w:ascii="Tahoma" w:eastAsia="Times New Roman" w:hAnsi="Tahoma" w:cs="Tahoma"/>
          <w:color w:val="212121"/>
          <w:kern w:val="0"/>
          <w:lang w:eastAsia="it-IT"/>
          <w14:ligatures w14:val="none"/>
        </w:rPr>
      </w:pPr>
      <w:r w:rsidRPr="004E0DF6">
        <w:rPr>
          <w:rFonts w:ascii="Tahoma" w:eastAsia="Times New Roman" w:hAnsi="Tahoma" w:cs="Tahoma"/>
          <w:color w:val="212121"/>
          <w:kern w:val="0"/>
          <w:lang w:eastAsia="it-IT"/>
          <w14:ligatures w14:val="none"/>
        </w:rPr>
        <w:t>“</w:t>
      </w:r>
      <w:r w:rsidR="003E0249" w:rsidRPr="004E0DF6">
        <w:rPr>
          <w:rFonts w:ascii="Tahoma" w:eastAsia="Times New Roman" w:hAnsi="Tahoma" w:cs="Tahoma"/>
          <w:color w:val="212121"/>
          <w:kern w:val="0"/>
          <w:lang w:eastAsia="it-IT"/>
          <w14:ligatures w14:val="none"/>
        </w:rPr>
        <w:t>Investire sullo stato sociale</w:t>
      </w:r>
      <w:r w:rsidR="007A28D5" w:rsidRPr="004E0DF6">
        <w:rPr>
          <w:rFonts w:ascii="Tahoma" w:eastAsia="Times New Roman" w:hAnsi="Tahoma" w:cs="Tahoma"/>
          <w:color w:val="212121"/>
          <w:kern w:val="0"/>
          <w:lang w:eastAsia="it-IT"/>
          <w14:ligatures w14:val="none"/>
        </w:rPr>
        <w:t>, sulla sua universalità e inclusività, non è solo un dovere di solidarietà verso i più fragili, ma significa anche costruire società più coese, sistemi più resilienti e una crescita economica più stabile</w:t>
      </w:r>
      <w:r w:rsidR="002A3143" w:rsidRPr="004E0DF6">
        <w:rPr>
          <w:rFonts w:ascii="Tahoma" w:eastAsia="Times New Roman" w:hAnsi="Tahoma" w:cs="Tahoma"/>
          <w:color w:val="212121"/>
          <w:kern w:val="0"/>
          <w:lang w:eastAsia="it-IT"/>
          <w14:ligatures w14:val="none"/>
        </w:rPr>
        <w:t>”</w:t>
      </w:r>
      <w:r w:rsidR="007A28D5" w:rsidRPr="004E0DF6">
        <w:rPr>
          <w:rFonts w:ascii="Tahoma" w:eastAsia="Times New Roman" w:hAnsi="Tahoma" w:cs="Tahoma"/>
          <w:color w:val="212121"/>
          <w:kern w:val="0"/>
          <w:lang w:eastAsia="it-IT"/>
          <w14:ligatures w14:val="none"/>
        </w:rPr>
        <w:t xml:space="preserve">, sostiene Giorgio Vittadini, Presidente di </w:t>
      </w:r>
      <w:proofErr w:type="spellStart"/>
      <w:r w:rsidR="007A28D5" w:rsidRPr="004E0DF6">
        <w:rPr>
          <w:rFonts w:ascii="Tahoma" w:eastAsia="Times New Roman" w:hAnsi="Tahoma" w:cs="Tahoma"/>
          <w:color w:val="212121"/>
          <w:kern w:val="0"/>
          <w:lang w:eastAsia="it-IT"/>
          <w14:ligatures w14:val="none"/>
        </w:rPr>
        <w:t>FpS</w:t>
      </w:r>
      <w:proofErr w:type="spellEnd"/>
      <w:r w:rsidR="007A28D5" w:rsidRPr="004E0DF6">
        <w:rPr>
          <w:rFonts w:ascii="Tahoma" w:eastAsia="Times New Roman" w:hAnsi="Tahoma" w:cs="Tahoma"/>
          <w:color w:val="212121"/>
          <w:kern w:val="0"/>
          <w:lang w:eastAsia="it-IT"/>
          <w14:ligatures w14:val="none"/>
        </w:rPr>
        <w:t>, “</w:t>
      </w:r>
      <w:r w:rsidR="002A3143" w:rsidRPr="004E0DF6">
        <w:rPr>
          <w:rFonts w:ascii="Tahoma" w:eastAsia="Times New Roman" w:hAnsi="Tahoma" w:cs="Tahoma"/>
          <w:color w:val="212121"/>
          <w:kern w:val="0"/>
          <w:lang w:eastAsia="it-IT"/>
          <w14:ligatures w14:val="none"/>
        </w:rPr>
        <w:t xml:space="preserve">È </w:t>
      </w:r>
      <w:r w:rsidR="00AF2D41" w:rsidRPr="004E0DF6">
        <w:rPr>
          <w:rFonts w:ascii="Tahoma" w:eastAsia="Times New Roman" w:hAnsi="Tahoma" w:cs="Tahoma"/>
          <w:color w:val="212121"/>
          <w:kern w:val="0"/>
          <w:lang w:eastAsia="it-IT"/>
          <w14:ligatures w14:val="none"/>
        </w:rPr>
        <w:t>venuto il momento di rinnovare il patto sociale che ci unisce</w:t>
      </w:r>
      <w:r w:rsidR="00F824E3" w:rsidRPr="004E0DF6">
        <w:rPr>
          <w:rFonts w:ascii="Tahoma" w:eastAsia="Times New Roman" w:hAnsi="Tahoma" w:cs="Tahoma"/>
          <w:color w:val="212121"/>
          <w:kern w:val="0"/>
          <w:lang w:eastAsia="it-IT"/>
          <w14:ligatures w14:val="none"/>
        </w:rPr>
        <w:t xml:space="preserve">, con </w:t>
      </w:r>
      <w:r w:rsidR="00AF2D41" w:rsidRPr="004E0DF6">
        <w:rPr>
          <w:rFonts w:ascii="Tahoma" w:eastAsia="Times New Roman" w:hAnsi="Tahoma" w:cs="Tahoma"/>
          <w:color w:val="212121"/>
          <w:kern w:val="0"/>
          <w:lang w:eastAsia="it-IT"/>
          <w14:ligatures w14:val="none"/>
        </w:rPr>
        <w:t>la cultura della sussidiarietà, che è ricerca del bene comune attraverso la messa a sistema del contributo di tutti</w:t>
      </w:r>
      <w:r w:rsidR="007A28D5" w:rsidRPr="004E0DF6">
        <w:rPr>
          <w:rFonts w:ascii="Tahoma" w:eastAsia="Times New Roman" w:hAnsi="Tahoma" w:cs="Tahoma"/>
          <w:color w:val="212121"/>
          <w:kern w:val="0"/>
          <w:lang w:eastAsia="it-IT"/>
          <w14:ligatures w14:val="none"/>
        </w:rPr>
        <w:t>.</w:t>
      </w:r>
      <w:r w:rsidR="00AF2D41" w:rsidRPr="004E0DF6">
        <w:rPr>
          <w:rFonts w:ascii="Tahoma" w:eastAsia="Times New Roman" w:hAnsi="Tahoma" w:cs="Tahoma"/>
          <w:color w:val="212121"/>
          <w:kern w:val="0"/>
          <w:lang w:eastAsia="it-IT"/>
          <w14:ligatures w14:val="none"/>
        </w:rPr>
        <w:t xml:space="preserve"> Più società e più Stato insieme”.</w:t>
      </w:r>
    </w:p>
    <w:p w14:paraId="76DB5429" w14:textId="77777777" w:rsidR="00B516E9" w:rsidRPr="004E0DF6" w:rsidRDefault="00B516E9" w:rsidP="003B34FF">
      <w:pPr>
        <w:jc w:val="both"/>
        <w:rPr>
          <w:rFonts w:ascii="Tahoma" w:eastAsia="Times New Roman" w:hAnsi="Tahoma" w:cs="Tahoma"/>
          <w:color w:val="212121"/>
          <w:kern w:val="0"/>
          <w:lang w:eastAsia="it-IT"/>
          <w14:ligatures w14:val="none"/>
        </w:rPr>
      </w:pPr>
    </w:p>
    <w:p w14:paraId="2B23FC0B" w14:textId="4998AA6B" w:rsidR="00021055" w:rsidRPr="00B516E9" w:rsidRDefault="00021055" w:rsidP="003B34FF">
      <w:pPr>
        <w:jc w:val="both"/>
        <w:rPr>
          <w:rFonts w:ascii="Tahoma" w:hAnsi="Tahoma" w:cs="Tahoma"/>
        </w:rPr>
      </w:pPr>
      <w:r w:rsidRPr="00B516E9">
        <w:rPr>
          <w:rFonts w:ascii="Tahoma" w:hAnsi="Tahoma" w:cs="Tahoma"/>
        </w:rPr>
        <w:t>Il Rapporto analizza il welfare italiano, in particolare quello territoriale</w:t>
      </w:r>
      <w:r w:rsidR="00136A78" w:rsidRPr="00B516E9">
        <w:rPr>
          <w:rFonts w:ascii="Tahoma" w:hAnsi="Tahoma" w:cs="Tahoma"/>
        </w:rPr>
        <w:t xml:space="preserve">, ovvero </w:t>
      </w:r>
      <w:r w:rsidRPr="00B516E9">
        <w:rPr>
          <w:rFonts w:ascii="Tahoma" w:hAnsi="Tahoma" w:cs="Tahoma"/>
        </w:rPr>
        <w:t>l’insieme dei servizi sociali di competenza dei Comuni che comprendono l’assistenza verso anziani, famiglie e soggetti minori in stato di bisogno, disabili, soggetti affetti da dipendenza, indigenti, persone emarginate dal lavoro.</w:t>
      </w:r>
    </w:p>
    <w:p w14:paraId="45244CC4" w14:textId="77CDAB9E" w:rsidR="00F21266" w:rsidRDefault="00F21266" w:rsidP="003B34FF">
      <w:pPr>
        <w:jc w:val="both"/>
        <w:rPr>
          <w:rFonts w:ascii="Tahoma" w:hAnsi="Tahoma" w:cs="Tahoma"/>
        </w:rPr>
      </w:pPr>
    </w:p>
    <w:p w14:paraId="33C402EF" w14:textId="2FDBD987" w:rsidR="00B516E9" w:rsidRDefault="00F21266" w:rsidP="00F21266">
      <w:pPr>
        <w:jc w:val="both"/>
        <w:rPr>
          <w:rFonts w:ascii="Tahoma" w:hAnsi="Tahoma" w:cs="Tahoma"/>
        </w:rPr>
      </w:pPr>
      <w:r w:rsidRPr="004E0DF6">
        <w:rPr>
          <w:rFonts w:ascii="Tahoma" w:hAnsi="Tahoma" w:cs="Tahoma"/>
        </w:rPr>
        <w:t>Povertà e disuguaglianza, che i servizi di welfare sono chiamati a limitare, stanno peggiorando</w:t>
      </w:r>
      <w:bookmarkStart w:id="0" w:name="_Hlk188950989"/>
      <w:r w:rsidR="000D5098" w:rsidRPr="004E0DF6">
        <w:rPr>
          <w:rFonts w:ascii="Tahoma" w:hAnsi="Tahoma" w:cs="Tahoma"/>
        </w:rPr>
        <w:t>:</w:t>
      </w:r>
      <w:r w:rsidR="000D5098" w:rsidRPr="00B516E9">
        <w:rPr>
          <w:rFonts w:ascii="Tahoma" w:hAnsi="Tahoma" w:cs="Tahoma"/>
        </w:rPr>
        <w:t xml:space="preserve"> il 5% delle famiglie possiede il 46% della ricchezza, mentre quasi il 10% della popolazione </w:t>
      </w:r>
      <w:r w:rsidR="00B516E9" w:rsidRPr="00B516E9">
        <w:rPr>
          <w:rFonts w:ascii="Tahoma" w:hAnsi="Tahoma" w:cs="Tahoma"/>
        </w:rPr>
        <w:t xml:space="preserve">è </w:t>
      </w:r>
      <w:r w:rsidR="000D5098" w:rsidRPr="00B516E9">
        <w:rPr>
          <w:rFonts w:ascii="Tahoma" w:hAnsi="Tahoma" w:cs="Tahoma"/>
        </w:rPr>
        <w:t xml:space="preserve">in difficoltà. Particolarmente grave la situazione delle famiglie con persone disabili: oltre un quarto (28,4%) è a rischio povertà o esclusione sociale. </w:t>
      </w:r>
      <w:bookmarkEnd w:id="0"/>
      <w:r w:rsidR="000D5098" w:rsidRPr="00B516E9">
        <w:rPr>
          <w:rFonts w:ascii="Tahoma" w:hAnsi="Tahoma" w:cs="Tahoma"/>
        </w:rPr>
        <w:t xml:space="preserve">La ricerca segnala che </w:t>
      </w:r>
      <w:bookmarkStart w:id="1" w:name="_Hlk188951095"/>
      <w:r w:rsidR="000D5098" w:rsidRPr="00B516E9">
        <w:rPr>
          <w:rFonts w:ascii="Tahoma" w:hAnsi="Tahoma" w:cs="Tahoma"/>
        </w:rPr>
        <w:t xml:space="preserve">negli ultimi tre anni una quota significativa </w:t>
      </w:r>
      <w:r w:rsidR="00B516E9" w:rsidRPr="00B516E9">
        <w:rPr>
          <w:rFonts w:ascii="Tahoma" w:hAnsi="Tahoma" w:cs="Tahoma"/>
        </w:rPr>
        <w:t xml:space="preserve">(oltre il 67%) di chi ha richiesto assistenza </w:t>
      </w:r>
      <w:r w:rsidR="000D5098" w:rsidRPr="00B516E9">
        <w:rPr>
          <w:rFonts w:ascii="Tahoma" w:hAnsi="Tahoma" w:cs="Tahoma"/>
        </w:rPr>
        <w:t>ha incontrato difficoltà o impossibilità di accesso ai servizi del welfare territoriale.</w:t>
      </w:r>
    </w:p>
    <w:p w14:paraId="74D136A2" w14:textId="77777777" w:rsidR="00B5268C" w:rsidRPr="003B34FF" w:rsidRDefault="00B5268C" w:rsidP="00B5268C">
      <w:pPr>
        <w:jc w:val="both"/>
        <w:rPr>
          <w:rFonts w:ascii="Tahoma" w:hAnsi="Tahoma" w:cs="Tahoma"/>
        </w:rPr>
      </w:pPr>
      <w:r w:rsidRPr="003B34FF">
        <w:rPr>
          <w:rFonts w:ascii="Tahoma" w:hAnsi="Tahoma" w:cs="Tahoma"/>
        </w:rPr>
        <w:t>La ricerca segnala la disomogeneità della spesa, con una crescente disparità territoriale tra Nord e Sud, tra aree urbane e periferiche, e tra zone interne e non.</w:t>
      </w:r>
    </w:p>
    <w:p w14:paraId="7196A242" w14:textId="77777777" w:rsidR="00F21266" w:rsidRPr="00B516E9" w:rsidRDefault="00F21266" w:rsidP="00F21266">
      <w:pPr>
        <w:jc w:val="both"/>
        <w:rPr>
          <w:rFonts w:ascii="Tahoma" w:hAnsi="Tahoma" w:cs="Tahoma"/>
        </w:rPr>
      </w:pPr>
    </w:p>
    <w:p w14:paraId="147C057B" w14:textId="645BE098" w:rsidR="000D5098" w:rsidRPr="00B516E9" w:rsidRDefault="000D5098" w:rsidP="000D5098">
      <w:pPr>
        <w:jc w:val="both"/>
        <w:rPr>
          <w:rFonts w:ascii="Tahoma" w:hAnsi="Tahoma" w:cs="Tahoma"/>
        </w:rPr>
      </w:pPr>
      <w:r w:rsidRPr="00B516E9">
        <w:rPr>
          <w:rFonts w:ascii="Tahoma" w:hAnsi="Tahoma" w:cs="Tahoma"/>
        </w:rPr>
        <w:t xml:space="preserve">L’attuale sistema di welfare non è ben visto dagli italiani. </w:t>
      </w:r>
      <w:bookmarkEnd w:id="1"/>
      <w:r w:rsidRPr="00B516E9">
        <w:rPr>
          <w:rFonts w:ascii="Tahoma" w:hAnsi="Tahoma" w:cs="Tahoma"/>
        </w:rPr>
        <w:t>Solo il 38% dei cittadini promuove le politiche per la lotta alla povertà e al disagio sociale.</w:t>
      </w:r>
    </w:p>
    <w:p w14:paraId="0188949D" w14:textId="77777777" w:rsidR="000D5098" w:rsidRDefault="000D5098" w:rsidP="003B34FF">
      <w:pPr>
        <w:jc w:val="both"/>
        <w:rPr>
          <w:rFonts w:ascii="Tahoma" w:hAnsi="Tahoma" w:cs="Tahoma"/>
        </w:rPr>
      </w:pPr>
    </w:p>
    <w:p w14:paraId="5F898B0A" w14:textId="3DE76935" w:rsidR="00486188" w:rsidRDefault="00D938AD" w:rsidP="003B34FF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N</w:t>
      </w:r>
      <w:r w:rsidR="00021055" w:rsidRPr="003B34FF">
        <w:rPr>
          <w:rFonts w:ascii="Tahoma" w:hAnsi="Tahoma" w:cs="Tahoma"/>
        </w:rPr>
        <w:t xml:space="preserve">el nostro Paese </w:t>
      </w:r>
      <w:r>
        <w:rPr>
          <w:rFonts w:ascii="Tahoma" w:hAnsi="Tahoma" w:cs="Tahoma"/>
        </w:rPr>
        <w:t>l</w:t>
      </w:r>
      <w:r w:rsidR="00486188" w:rsidRPr="003B34FF">
        <w:rPr>
          <w:rFonts w:ascii="Tahoma" w:hAnsi="Tahoma" w:cs="Tahoma"/>
        </w:rPr>
        <w:t xml:space="preserve">e prestazioni pensionistiche (vecchiaia, invalidità e </w:t>
      </w:r>
      <w:r w:rsidR="00013A8F" w:rsidRPr="003B34FF">
        <w:rPr>
          <w:rFonts w:ascii="Tahoma" w:hAnsi="Tahoma" w:cs="Tahoma"/>
        </w:rPr>
        <w:t>reversibilità</w:t>
      </w:r>
      <w:r w:rsidR="00486188" w:rsidRPr="003B34FF">
        <w:rPr>
          <w:rFonts w:ascii="Tahoma" w:hAnsi="Tahoma" w:cs="Tahoma"/>
        </w:rPr>
        <w:t xml:space="preserve">) assorbono quasi la metà </w:t>
      </w:r>
      <w:r w:rsidR="00013A8F" w:rsidRPr="003B34FF">
        <w:rPr>
          <w:rFonts w:ascii="Tahoma" w:hAnsi="Tahoma" w:cs="Tahoma"/>
        </w:rPr>
        <w:t>delle risorse</w:t>
      </w:r>
      <w:r>
        <w:rPr>
          <w:rFonts w:ascii="Tahoma" w:hAnsi="Tahoma" w:cs="Tahoma"/>
        </w:rPr>
        <w:t xml:space="preserve"> del welfare</w:t>
      </w:r>
      <w:r w:rsidR="00486188" w:rsidRPr="003B34FF">
        <w:rPr>
          <w:rFonts w:ascii="Tahoma" w:hAnsi="Tahoma" w:cs="Tahoma"/>
        </w:rPr>
        <w:t xml:space="preserve">, mentre alle politiche sociali (famiglie e minori, disabilità e disoccupazione) è </w:t>
      </w:r>
      <w:bookmarkStart w:id="2" w:name="_Hlk189834049"/>
      <w:r w:rsidR="00486188" w:rsidRPr="003B34FF">
        <w:rPr>
          <w:rFonts w:ascii="Tahoma" w:hAnsi="Tahoma" w:cs="Tahoma"/>
        </w:rPr>
        <w:t>destinato meno del 20%.</w:t>
      </w:r>
    </w:p>
    <w:p w14:paraId="6DA41FE4" w14:textId="77777777" w:rsidR="00B5268C" w:rsidRPr="003B34FF" w:rsidRDefault="00B5268C" w:rsidP="00B5268C">
      <w:pPr>
        <w:jc w:val="both"/>
        <w:rPr>
          <w:rFonts w:ascii="Tahoma" w:hAnsi="Tahoma" w:cs="Tahoma"/>
        </w:rPr>
      </w:pPr>
      <w:r w:rsidRPr="003B34FF">
        <w:rPr>
          <w:rFonts w:ascii="Tahoma" w:hAnsi="Tahoma" w:cs="Tahoma"/>
        </w:rPr>
        <w:t>La sostenibilità nel lungo periodo appare critica.</w:t>
      </w:r>
    </w:p>
    <w:p w14:paraId="71BBE9B9" w14:textId="0762DF0C" w:rsidR="00B5268C" w:rsidRDefault="00B5268C" w:rsidP="003B34FF">
      <w:pPr>
        <w:jc w:val="both"/>
        <w:rPr>
          <w:rFonts w:ascii="Tahoma" w:hAnsi="Tahoma" w:cs="Tahoma"/>
        </w:rPr>
      </w:pPr>
    </w:p>
    <w:p w14:paraId="748182F5" w14:textId="77777777" w:rsidR="00B5268C" w:rsidRDefault="00B5268C" w:rsidP="00B5268C">
      <w:pPr>
        <w:jc w:val="both"/>
        <w:rPr>
          <w:rFonts w:ascii="Tahoma" w:hAnsi="Tahoma" w:cs="Tahoma"/>
        </w:rPr>
      </w:pPr>
    </w:p>
    <w:p w14:paraId="1BE81F0E" w14:textId="28523329" w:rsidR="00B5268C" w:rsidRPr="003B34FF" w:rsidRDefault="00B5268C" w:rsidP="00B5268C">
      <w:pPr>
        <w:jc w:val="both"/>
        <w:rPr>
          <w:rFonts w:ascii="Tahoma" w:hAnsi="Tahoma" w:cs="Tahoma"/>
        </w:rPr>
      </w:pPr>
      <w:r w:rsidRPr="003B34FF">
        <w:rPr>
          <w:rFonts w:ascii="Tahoma" w:hAnsi="Tahoma" w:cs="Tahoma"/>
        </w:rPr>
        <w:t xml:space="preserve">Il welfare territoriale in Italia è caratterizzato da un complesso reticolo istituzionale, con competenze distribuite tra Stato, Regioni e Comuni, carenza o assenza di coordinamento e potenziali conflitti. Una situazione che causa sovrapposizioni, sprechi e inefficienze. </w:t>
      </w:r>
    </w:p>
    <w:bookmarkEnd w:id="2"/>
    <w:p w14:paraId="2E147590" w14:textId="73162846" w:rsidR="00D938AD" w:rsidRPr="00BA790E" w:rsidRDefault="00021055" w:rsidP="000D5098">
      <w:pPr>
        <w:jc w:val="both"/>
        <w:rPr>
          <w:rFonts w:ascii="Tahoma" w:hAnsi="Tahoma" w:cs="Tahoma"/>
        </w:rPr>
      </w:pPr>
      <w:r w:rsidRPr="00BA790E">
        <w:rPr>
          <w:rFonts w:ascii="Tahoma" w:hAnsi="Tahoma" w:cs="Tahoma"/>
        </w:rPr>
        <w:t xml:space="preserve">Il sistema </w:t>
      </w:r>
      <w:r w:rsidR="00D938AD" w:rsidRPr="00BA790E">
        <w:rPr>
          <w:rFonts w:ascii="Tahoma" w:hAnsi="Tahoma" w:cs="Tahoma"/>
        </w:rPr>
        <w:t>è sbilanciato verso il trasferimento monetario rispetto alla più efficace offerta di servizi; è incentrato sull’offerta di servizi parcellizzati e non sulla presa in carico della persona; ha una governance policentrica che causa duplicazioni e inefficienze; il rapporto pubblico-privato sociale è troppo soggetto alle regole di mercato; manca un sistema di monitoraggio dei bisogni e di valutazione della qualità dei servizi.</w:t>
      </w:r>
    </w:p>
    <w:p w14:paraId="16745806" w14:textId="77777777" w:rsidR="00D938AD" w:rsidRDefault="00D938AD" w:rsidP="000D5098">
      <w:pPr>
        <w:jc w:val="both"/>
        <w:rPr>
          <w:rFonts w:ascii="Tahoma" w:hAnsi="Tahoma" w:cs="Tahoma"/>
        </w:rPr>
      </w:pPr>
    </w:p>
    <w:p w14:paraId="5D0D0030" w14:textId="77777777" w:rsidR="00021055" w:rsidRPr="003B34FF" w:rsidRDefault="00021055" w:rsidP="003B34FF">
      <w:pPr>
        <w:jc w:val="both"/>
        <w:rPr>
          <w:rFonts w:ascii="Tahoma" w:hAnsi="Tahoma" w:cs="Tahoma"/>
        </w:rPr>
      </w:pPr>
      <w:r w:rsidRPr="003B34FF">
        <w:rPr>
          <w:rFonts w:ascii="Tahoma" w:hAnsi="Tahoma" w:cs="Tahoma"/>
        </w:rPr>
        <w:t>Dal Rapporto emerge l’importanza di passare da una visione “amministrativa” dei bisogni a un approccio olistico che riconosca la complessità e la specificità delle esigenze individuali e comunitarie, mettendo al centro la persona.</w:t>
      </w:r>
    </w:p>
    <w:p w14:paraId="3F568ECE" w14:textId="77777777" w:rsidR="00021055" w:rsidRPr="003B34FF" w:rsidRDefault="00021055" w:rsidP="003B34FF">
      <w:pPr>
        <w:jc w:val="both"/>
        <w:rPr>
          <w:rFonts w:ascii="Tahoma" w:hAnsi="Tahoma" w:cs="Tahoma"/>
        </w:rPr>
      </w:pPr>
    </w:p>
    <w:p w14:paraId="195D3DBB" w14:textId="4FD9FA07" w:rsidR="00013A8F" w:rsidRPr="004E0DF6" w:rsidRDefault="0094189F" w:rsidP="003B34FF">
      <w:pPr>
        <w:jc w:val="both"/>
        <w:rPr>
          <w:rFonts w:ascii="Tahoma" w:hAnsi="Tahoma" w:cs="Tahoma"/>
        </w:rPr>
      </w:pPr>
      <w:r w:rsidRPr="004E0DF6">
        <w:rPr>
          <w:rFonts w:ascii="Tahoma" w:hAnsi="Tahoma" w:cs="Tahoma"/>
        </w:rPr>
        <w:t xml:space="preserve">Il </w:t>
      </w:r>
      <w:r w:rsidR="00021055" w:rsidRPr="004E0DF6">
        <w:rPr>
          <w:rFonts w:ascii="Tahoma" w:hAnsi="Tahoma" w:cs="Tahoma"/>
        </w:rPr>
        <w:t xml:space="preserve">Rapporto </w:t>
      </w:r>
      <w:r w:rsidRPr="004E0DF6">
        <w:rPr>
          <w:rFonts w:ascii="Tahoma" w:hAnsi="Tahoma" w:cs="Tahoma"/>
        </w:rPr>
        <w:t xml:space="preserve">contiene </w:t>
      </w:r>
      <w:r w:rsidR="00013A8F" w:rsidRPr="004E0DF6">
        <w:rPr>
          <w:rFonts w:ascii="Tahoma" w:hAnsi="Tahoma" w:cs="Tahoma"/>
        </w:rPr>
        <w:t xml:space="preserve">alcune </w:t>
      </w:r>
      <w:r w:rsidR="00021055" w:rsidRPr="004E0DF6">
        <w:rPr>
          <w:rFonts w:ascii="Tahoma" w:hAnsi="Tahoma" w:cs="Tahoma"/>
        </w:rPr>
        <w:t xml:space="preserve">proposte </w:t>
      </w:r>
      <w:r w:rsidR="00013A8F" w:rsidRPr="004E0DF6">
        <w:rPr>
          <w:rFonts w:ascii="Tahoma" w:hAnsi="Tahoma" w:cs="Tahoma"/>
        </w:rPr>
        <w:t>per migliorare la situazione.</w:t>
      </w:r>
    </w:p>
    <w:p w14:paraId="07C2DB73" w14:textId="2789F3C1" w:rsidR="00021055" w:rsidRPr="004E0DF6" w:rsidRDefault="00021055" w:rsidP="003B34FF">
      <w:pPr>
        <w:jc w:val="both"/>
        <w:rPr>
          <w:rFonts w:ascii="Tahoma" w:hAnsi="Tahoma" w:cs="Tahoma"/>
        </w:rPr>
      </w:pPr>
      <w:r w:rsidRPr="004E0DF6">
        <w:rPr>
          <w:rFonts w:ascii="Tahoma" w:hAnsi="Tahoma" w:cs="Tahoma"/>
        </w:rPr>
        <w:t>1</w:t>
      </w:r>
      <w:r w:rsidR="00B5268C" w:rsidRPr="004E0DF6">
        <w:rPr>
          <w:rFonts w:ascii="Tahoma" w:hAnsi="Tahoma" w:cs="Tahoma"/>
        </w:rPr>
        <w:t>.</w:t>
      </w:r>
      <w:r w:rsidRPr="004E0DF6">
        <w:rPr>
          <w:rFonts w:ascii="Tahoma" w:hAnsi="Tahoma" w:cs="Tahoma"/>
        </w:rPr>
        <w:t xml:space="preserve"> La presa in carico della persona, che parta dalla valutazione del complesso dei suoi bisogni per poi individuare il piano di servizi più appropriato.</w:t>
      </w:r>
    </w:p>
    <w:p w14:paraId="0D638A8F" w14:textId="048C6D1E" w:rsidR="00013A8F" w:rsidRPr="004E0DF6" w:rsidRDefault="00021055" w:rsidP="003B34FF">
      <w:pPr>
        <w:jc w:val="both"/>
        <w:rPr>
          <w:rFonts w:ascii="Tahoma" w:hAnsi="Tahoma" w:cs="Tahoma"/>
        </w:rPr>
      </w:pPr>
      <w:r w:rsidRPr="004E0DF6">
        <w:rPr>
          <w:rFonts w:ascii="Tahoma" w:hAnsi="Tahoma" w:cs="Tahoma"/>
        </w:rPr>
        <w:t>2</w:t>
      </w:r>
      <w:r w:rsidR="00B5268C" w:rsidRPr="004E0DF6">
        <w:rPr>
          <w:rFonts w:ascii="Tahoma" w:hAnsi="Tahoma" w:cs="Tahoma"/>
        </w:rPr>
        <w:t>.</w:t>
      </w:r>
      <w:r w:rsidRPr="004E0DF6">
        <w:rPr>
          <w:rFonts w:ascii="Tahoma" w:hAnsi="Tahoma" w:cs="Tahoma"/>
        </w:rPr>
        <w:t xml:space="preserve"> La progettazione integrata dei servizi</w:t>
      </w:r>
      <w:r w:rsidR="00B5268C" w:rsidRPr="004E0DF6">
        <w:rPr>
          <w:rFonts w:ascii="Tahoma" w:hAnsi="Tahoma" w:cs="Tahoma"/>
        </w:rPr>
        <w:t xml:space="preserve"> e un sistema di valutazione della loro qualità.</w:t>
      </w:r>
    </w:p>
    <w:p w14:paraId="37EB6BF2" w14:textId="5D1F00A4" w:rsidR="00013A8F" w:rsidRPr="004E0DF6" w:rsidRDefault="00021055" w:rsidP="003B34FF">
      <w:pPr>
        <w:jc w:val="both"/>
        <w:rPr>
          <w:rFonts w:ascii="Tahoma" w:hAnsi="Tahoma" w:cs="Tahoma"/>
        </w:rPr>
      </w:pPr>
      <w:r w:rsidRPr="004E0DF6">
        <w:rPr>
          <w:rFonts w:ascii="Tahoma" w:hAnsi="Tahoma" w:cs="Tahoma"/>
        </w:rPr>
        <w:t>3</w:t>
      </w:r>
      <w:r w:rsidR="00B5268C" w:rsidRPr="004E0DF6">
        <w:rPr>
          <w:rFonts w:ascii="Tahoma" w:hAnsi="Tahoma" w:cs="Tahoma"/>
        </w:rPr>
        <w:t>.</w:t>
      </w:r>
      <w:r w:rsidRPr="004E0DF6">
        <w:rPr>
          <w:rFonts w:ascii="Tahoma" w:hAnsi="Tahoma" w:cs="Tahoma"/>
        </w:rPr>
        <w:t xml:space="preserve"> La creazione di centri territoriali per servizi integrati e accessibili</w:t>
      </w:r>
      <w:r w:rsidR="00013A8F" w:rsidRPr="004E0DF6">
        <w:rPr>
          <w:rFonts w:ascii="Tahoma" w:hAnsi="Tahoma" w:cs="Tahoma"/>
        </w:rPr>
        <w:t>.</w:t>
      </w:r>
    </w:p>
    <w:p w14:paraId="650654C2" w14:textId="3D9DBF10" w:rsidR="00021055" w:rsidRPr="004E0DF6" w:rsidRDefault="00021055" w:rsidP="003B34FF">
      <w:pPr>
        <w:jc w:val="both"/>
        <w:rPr>
          <w:rFonts w:ascii="Tahoma" w:hAnsi="Tahoma" w:cs="Tahoma"/>
        </w:rPr>
      </w:pPr>
      <w:r w:rsidRPr="004E0DF6">
        <w:rPr>
          <w:rFonts w:ascii="Tahoma" w:hAnsi="Tahoma" w:cs="Tahoma"/>
        </w:rPr>
        <w:t>4</w:t>
      </w:r>
      <w:r w:rsidR="00B5268C" w:rsidRPr="004E0DF6">
        <w:rPr>
          <w:rFonts w:ascii="Tahoma" w:hAnsi="Tahoma" w:cs="Tahoma"/>
        </w:rPr>
        <w:t>.</w:t>
      </w:r>
      <w:r w:rsidRPr="004E0DF6">
        <w:rPr>
          <w:rFonts w:ascii="Tahoma" w:hAnsi="Tahoma" w:cs="Tahoma"/>
        </w:rPr>
        <w:t xml:space="preserve"> </w:t>
      </w:r>
      <w:r w:rsidR="00B5268C" w:rsidRPr="004E0DF6">
        <w:rPr>
          <w:rFonts w:ascii="Tahoma" w:hAnsi="Tahoma" w:cs="Tahoma"/>
        </w:rPr>
        <w:t>Una regia centrale dei flussi di spesa, l</w:t>
      </w:r>
      <w:r w:rsidRPr="004E0DF6">
        <w:rPr>
          <w:rFonts w:ascii="Tahoma" w:hAnsi="Tahoma" w:cs="Tahoma"/>
        </w:rPr>
        <w:t xml:space="preserve">’incremento delle risorse, </w:t>
      </w:r>
      <w:r w:rsidR="00013A8F" w:rsidRPr="004E0DF6">
        <w:rPr>
          <w:rFonts w:ascii="Tahoma" w:hAnsi="Tahoma" w:cs="Tahoma"/>
        </w:rPr>
        <w:t xml:space="preserve">con </w:t>
      </w:r>
      <w:r w:rsidRPr="004E0DF6">
        <w:rPr>
          <w:rFonts w:ascii="Tahoma" w:hAnsi="Tahoma" w:cs="Tahoma"/>
        </w:rPr>
        <w:t>investimenti sul capitale umano</w:t>
      </w:r>
      <w:r w:rsidR="00013A8F" w:rsidRPr="004E0DF6">
        <w:rPr>
          <w:rFonts w:ascii="Tahoma" w:hAnsi="Tahoma" w:cs="Tahoma"/>
        </w:rPr>
        <w:t>.</w:t>
      </w:r>
    </w:p>
    <w:p w14:paraId="3BC005BE" w14:textId="71808AC0" w:rsidR="00021055" w:rsidRPr="004E0DF6" w:rsidRDefault="00013A8F" w:rsidP="003B34FF">
      <w:pPr>
        <w:jc w:val="both"/>
        <w:rPr>
          <w:rFonts w:ascii="Tahoma" w:hAnsi="Tahoma" w:cs="Tahoma"/>
        </w:rPr>
      </w:pPr>
      <w:r w:rsidRPr="004E0DF6">
        <w:rPr>
          <w:rFonts w:ascii="Tahoma" w:hAnsi="Tahoma" w:cs="Tahoma"/>
        </w:rPr>
        <w:t>5</w:t>
      </w:r>
      <w:r w:rsidR="00B5268C" w:rsidRPr="004E0DF6">
        <w:rPr>
          <w:rFonts w:ascii="Tahoma" w:hAnsi="Tahoma" w:cs="Tahoma"/>
        </w:rPr>
        <w:t>.</w:t>
      </w:r>
      <w:r w:rsidRPr="004E0DF6">
        <w:rPr>
          <w:rFonts w:ascii="Tahoma" w:hAnsi="Tahoma" w:cs="Tahoma"/>
        </w:rPr>
        <w:t xml:space="preserve"> </w:t>
      </w:r>
      <w:r w:rsidR="00021055" w:rsidRPr="004E0DF6">
        <w:rPr>
          <w:rFonts w:ascii="Tahoma" w:hAnsi="Tahoma" w:cs="Tahoma"/>
        </w:rPr>
        <w:t>Il rafforzamento della collaborazione tra pubblica amministrazione e Terzo settore che parta dell’analisi dei bisogni</w:t>
      </w:r>
      <w:r w:rsidR="00B5268C" w:rsidRPr="004E0DF6">
        <w:rPr>
          <w:rFonts w:ascii="Tahoma" w:hAnsi="Tahoma" w:cs="Tahoma"/>
        </w:rPr>
        <w:t xml:space="preserve"> ed</w:t>
      </w:r>
      <w:r w:rsidR="0018183A" w:rsidRPr="004E0DF6">
        <w:rPr>
          <w:rFonts w:ascii="Tahoma" w:hAnsi="Tahoma" w:cs="Tahoma"/>
        </w:rPr>
        <w:t xml:space="preserve"> esca dalle logiche di mercato</w:t>
      </w:r>
      <w:r w:rsidR="00021055" w:rsidRPr="004E0DF6">
        <w:rPr>
          <w:rFonts w:ascii="Tahoma" w:hAnsi="Tahoma" w:cs="Tahoma"/>
        </w:rPr>
        <w:t>.</w:t>
      </w:r>
    </w:p>
    <w:p w14:paraId="401CD123" w14:textId="77777777" w:rsidR="000902E2" w:rsidRPr="004E0DF6" w:rsidRDefault="000902E2" w:rsidP="00DA1268">
      <w:pPr>
        <w:jc w:val="both"/>
        <w:rPr>
          <w:rFonts w:ascii="Tahoma" w:hAnsi="Tahoma" w:cs="Tahoma"/>
        </w:rPr>
      </w:pPr>
    </w:p>
    <w:p w14:paraId="03B1E664" w14:textId="2857689C" w:rsidR="000902E2" w:rsidRDefault="00DA1268" w:rsidP="00DA1268">
      <w:pPr>
        <w:jc w:val="both"/>
        <w:rPr>
          <w:rFonts w:ascii="Tahoma" w:eastAsia="Times New Roman" w:hAnsi="Tahoma" w:cs="Tahoma"/>
          <w:color w:val="000000"/>
          <w:kern w:val="0"/>
          <w:lang w:eastAsia="it-IT"/>
          <w14:ligatures w14:val="none"/>
        </w:rPr>
      </w:pPr>
      <w:r w:rsidRPr="000902E2">
        <w:rPr>
          <w:rFonts w:ascii="Tahoma" w:eastAsia="Times New Roman" w:hAnsi="Tahoma" w:cs="Tahoma"/>
          <w:color w:val="000000"/>
          <w:kern w:val="0"/>
          <w:lang w:eastAsia="it-IT"/>
          <w14:ligatures w14:val="none"/>
        </w:rPr>
        <w:t xml:space="preserve">Il rapporto è stato realizzato da Fondazione per la Sussidiarietà </w:t>
      </w:r>
      <w:r w:rsidR="0044429E" w:rsidRPr="000902E2">
        <w:rPr>
          <w:rFonts w:ascii="Tahoma" w:eastAsia="Times New Roman" w:hAnsi="Tahoma" w:cs="Tahoma"/>
          <w:color w:val="000000"/>
          <w:kern w:val="0"/>
          <w:lang w:eastAsia="it-IT"/>
          <w14:ligatures w14:val="none"/>
        </w:rPr>
        <w:t xml:space="preserve">in collaborazione con </w:t>
      </w:r>
      <w:proofErr w:type="spellStart"/>
      <w:r w:rsidR="0044429E" w:rsidRPr="000902E2">
        <w:rPr>
          <w:rFonts w:ascii="Tahoma" w:eastAsia="Times New Roman" w:hAnsi="Tahoma" w:cs="Tahoma"/>
          <w:color w:val="000000"/>
          <w:kern w:val="0"/>
          <w:lang w:eastAsia="it-IT"/>
          <w14:ligatures w14:val="none"/>
        </w:rPr>
        <w:t>Aiccon</w:t>
      </w:r>
      <w:proofErr w:type="spellEnd"/>
      <w:r w:rsidR="0044429E" w:rsidRPr="000902E2">
        <w:rPr>
          <w:rFonts w:ascii="Tahoma" w:eastAsia="Times New Roman" w:hAnsi="Tahoma" w:cs="Tahoma"/>
          <w:color w:val="000000"/>
          <w:kern w:val="0"/>
          <w:lang w:eastAsia="it-IT"/>
          <w14:ligatures w14:val="none"/>
        </w:rPr>
        <w:t>, IFEL, Ipsos e Istat e con il contributo di Fondazione Cariplo.</w:t>
      </w:r>
      <w:r w:rsidR="002F6B3A">
        <w:rPr>
          <w:rFonts w:ascii="Tahoma" w:eastAsia="Times New Roman" w:hAnsi="Tahoma" w:cs="Tahoma"/>
          <w:color w:val="000000"/>
          <w:kern w:val="0"/>
          <w:lang w:eastAsia="it-IT"/>
          <w14:ligatures w14:val="none"/>
        </w:rPr>
        <w:t xml:space="preserve"> </w:t>
      </w:r>
      <w:r w:rsidR="000902E2" w:rsidRPr="000902E2">
        <w:rPr>
          <w:rFonts w:ascii="Tahoma" w:eastAsia="Times New Roman" w:hAnsi="Tahoma" w:cs="Tahoma"/>
          <w:color w:val="000000"/>
          <w:kern w:val="0"/>
          <w:lang w:eastAsia="it-IT"/>
          <w14:ligatures w14:val="none"/>
        </w:rPr>
        <w:t xml:space="preserve">Il Rapporto si può scaricare dal sito della Fondazione per la Sussidiarietà: </w:t>
      </w:r>
      <w:hyperlink r:id="rId7" w:history="1">
        <w:r w:rsidR="002F6B3A" w:rsidRPr="00F65D2C">
          <w:rPr>
            <w:rStyle w:val="Collegamentoipertestuale"/>
            <w:rFonts w:ascii="Tahoma" w:eastAsia="Times New Roman" w:hAnsi="Tahoma" w:cs="Tahoma"/>
            <w:kern w:val="0"/>
            <w:lang w:eastAsia="it-IT"/>
            <w14:ligatures w14:val="none"/>
          </w:rPr>
          <w:t>www.sussidiarieta.net</w:t>
        </w:r>
      </w:hyperlink>
    </w:p>
    <w:p w14:paraId="640E27DF" w14:textId="77777777" w:rsidR="002F6B3A" w:rsidRDefault="002F6B3A" w:rsidP="00DA1268">
      <w:pPr>
        <w:jc w:val="both"/>
        <w:rPr>
          <w:rFonts w:ascii="Tahoma" w:eastAsia="Times New Roman" w:hAnsi="Tahoma" w:cs="Tahoma"/>
          <w:color w:val="000000"/>
          <w:kern w:val="0"/>
          <w:lang w:eastAsia="it-IT"/>
          <w14:ligatures w14:val="none"/>
        </w:rPr>
      </w:pPr>
    </w:p>
    <w:p w14:paraId="39E6C108" w14:textId="1BE75D90" w:rsidR="002F6B3A" w:rsidRPr="000902E2" w:rsidRDefault="002F6B3A" w:rsidP="002F6B3A">
      <w:pPr>
        <w:jc w:val="right"/>
        <w:rPr>
          <w:rFonts w:ascii="Tahoma" w:eastAsia="Times New Roman" w:hAnsi="Tahoma" w:cs="Tahoma"/>
          <w:color w:val="000000"/>
          <w:kern w:val="0"/>
          <w:lang w:eastAsia="it-IT"/>
          <w14:ligatures w14:val="none"/>
        </w:rPr>
      </w:pPr>
      <w:r>
        <w:rPr>
          <w:rFonts w:ascii="Tahoma" w:eastAsia="Times New Roman" w:hAnsi="Tahoma" w:cs="Tahoma"/>
          <w:color w:val="000000"/>
          <w:kern w:val="0"/>
          <w:lang w:eastAsia="it-IT"/>
          <w14:ligatures w14:val="none"/>
        </w:rPr>
        <w:t>Roma, 20 febbraio 2025</w:t>
      </w:r>
    </w:p>
    <w:p w14:paraId="2D349E9F" w14:textId="77777777" w:rsidR="000902E2" w:rsidRDefault="000902E2" w:rsidP="00401C7B">
      <w:pPr>
        <w:jc w:val="both"/>
        <w:rPr>
          <w:rFonts w:ascii="Tahoma" w:hAnsi="Tahoma" w:cs="Tahoma"/>
          <w:b/>
          <w:bCs/>
          <w:sz w:val="20"/>
          <w:szCs w:val="20"/>
        </w:rPr>
      </w:pPr>
    </w:p>
    <w:p w14:paraId="040CBB20" w14:textId="2C900C4D" w:rsidR="00401C7B" w:rsidRPr="00401C7B" w:rsidRDefault="00401C7B" w:rsidP="00401C7B">
      <w:pPr>
        <w:jc w:val="both"/>
        <w:rPr>
          <w:rFonts w:ascii="Tahoma" w:eastAsia="Tahoma" w:hAnsi="Tahoma" w:cs="Tahoma"/>
          <w:sz w:val="20"/>
          <w:szCs w:val="20"/>
        </w:rPr>
      </w:pPr>
      <w:r w:rsidRPr="00401C7B">
        <w:rPr>
          <w:rFonts w:ascii="Tahoma" w:hAnsi="Tahoma" w:cs="Tahoma"/>
          <w:b/>
          <w:bCs/>
          <w:sz w:val="20"/>
          <w:szCs w:val="20"/>
        </w:rPr>
        <w:t>Fondazione per la Sussidiarietà</w:t>
      </w:r>
    </w:p>
    <w:p w14:paraId="22706BD3" w14:textId="61E7DF69" w:rsidR="00401C7B" w:rsidRPr="00401C7B" w:rsidRDefault="00401C7B" w:rsidP="00401C7B">
      <w:pPr>
        <w:jc w:val="both"/>
        <w:rPr>
          <w:rFonts w:ascii="Tahoma" w:eastAsia="Tahoma" w:hAnsi="Tahoma" w:cs="Tahoma"/>
          <w:sz w:val="20"/>
          <w:szCs w:val="20"/>
        </w:rPr>
      </w:pPr>
      <w:r w:rsidRPr="00401C7B">
        <w:rPr>
          <w:rFonts w:ascii="Tahoma" w:hAnsi="Tahoma" w:cs="Tahoma"/>
          <w:sz w:val="20"/>
          <w:szCs w:val="20"/>
        </w:rPr>
        <w:t>Fondazione per la Sussidiarietà-ETS realizza attività di ricerca, formazione e divulgazione su temi sociali, economici e istituzionali, con lo scopo di fare della cultura sussidiaria un valore condiviso. Pubblica l’annuale Rapporto sulla sussidiarietà. I suoi principali temi di studio sono: sussidiarietà; sviluppo sostenibile, impresa e lavoro; welfare; corpi intermedi e non profit; istruzione, scuola e capitale umano; istituzioni e pubblica amministrazione. È stata fondata nel 2002 ed è presieduta da Giorgio Vittadini, professore di Statistica all’Università degli Studi di Milano-Bicocca.</w:t>
      </w:r>
    </w:p>
    <w:p w14:paraId="22F18899" w14:textId="77777777" w:rsidR="002B3A80" w:rsidRDefault="002B3A80" w:rsidP="009D43C9">
      <w:pPr>
        <w:jc w:val="both"/>
        <w:rPr>
          <w:rFonts w:ascii="Tahoma" w:hAnsi="Tahoma" w:cs="Tahoma"/>
        </w:rPr>
      </w:pPr>
    </w:p>
    <w:p w14:paraId="4ADB3872" w14:textId="14B7D5A7" w:rsidR="00401C7B" w:rsidRPr="00A97F45" w:rsidRDefault="00401C7B" w:rsidP="00401C7B">
      <w:pPr>
        <w:jc w:val="both"/>
        <w:rPr>
          <w:rFonts w:ascii="Tahoma" w:eastAsia="Tahoma" w:hAnsi="Tahoma" w:cs="Tahoma"/>
          <w:b/>
          <w:bCs/>
          <w:sz w:val="20"/>
          <w:szCs w:val="20"/>
        </w:rPr>
      </w:pPr>
      <w:r w:rsidRPr="00A97F45">
        <w:rPr>
          <w:rFonts w:ascii="Tahoma" w:hAnsi="Tahoma" w:cs="Tahoma"/>
          <w:b/>
          <w:bCs/>
          <w:sz w:val="20"/>
          <w:szCs w:val="20"/>
        </w:rPr>
        <w:t xml:space="preserve">Ufficio stampa Fondazione </w:t>
      </w:r>
      <w:r w:rsidR="00DA1268">
        <w:rPr>
          <w:rFonts w:ascii="Tahoma" w:hAnsi="Tahoma" w:cs="Tahoma"/>
          <w:b/>
          <w:bCs/>
          <w:sz w:val="20"/>
          <w:szCs w:val="20"/>
        </w:rPr>
        <w:t>p</w:t>
      </w:r>
      <w:r w:rsidRPr="00A97F45">
        <w:rPr>
          <w:rFonts w:ascii="Tahoma" w:hAnsi="Tahoma" w:cs="Tahoma"/>
          <w:b/>
          <w:bCs/>
          <w:sz w:val="20"/>
          <w:szCs w:val="20"/>
        </w:rPr>
        <w:t xml:space="preserve">er la Sussidiarietà: SEC </w:t>
      </w:r>
      <w:proofErr w:type="spellStart"/>
      <w:r w:rsidRPr="00A97F45">
        <w:rPr>
          <w:rFonts w:ascii="Tahoma" w:hAnsi="Tahoma" w:cs="Tahoma"/>
          <w:b/>
          <w:bCs/>
          <w:sz w:val="20"/>
          <w:szCs w:val="20"/>
        </w:rPr>
        <w:t>Newgate</w:t>
      </w:r>
      <w:proofErr w:type="spellEnd"/>
      <w:r w:rsidRPr="00A97F45">
        <w:rPr>
          <w:rFonts w:ascii="Tahoma" w:hAnsi="Tahoma" w:cs="Tahoma"/>
          <w:b/>
          <w:bCs/>
          <w:sz w:val="20"/>
          <w:szCs w:val="20"/>
        </w:rPr>
        <w:t xml:space="preserve"> Italia </w:t>
      </w:r>
      <w:proofErr w:type="spellStart"/>
      <w:r w:rsidRPr="00A97F45">
        <w:rPr>
          <w:rFonts w:ascii="Tahoma" w:hAnsi="Tahoma" w:cs="Tahoma"/>
          <w:b/>
          <w:bCs/>
          <w:sz w:val="20"/>
          <w:szCs w:val="20"/>
        </w:rPr>
        <w:t>srl</w:t>
      </w:r>
      <w:proofErr w:type="spellEnd"/>
    </w:p>
    <w:p w14:paraId="389CF4DC" w14:textId="100B454F" w:rsidR="00401C7B" w:rsidRPr="00A97F45" w:rsidRDefault="00401C7B" w:rsidP="00401C7B">
      <w:pPr>
        <w:jc w:val="both"/>
        <w:rPr>
          <w:rFonts w:ascii="Tahoma" w:hAnsi="Tahoma" w:cs="Tahoma"/>
          <w:sz w:val="20"/>
          <w:szCs w:val="20"/>
        </w:rPr>
      </w:pPr>
      <w:r w:rsidRPr="00A97F45">
        <w:rPr>
          <w:rFonts w:ascii="Tahoma" w:hAnsi="Tahoma" w:cs="Tahoma"/>
          <w:sz w:val="20"/>
          <w:szCs w:val="20"/>
        </w:rPr>
        <w:t xml:space="preserve">Gabriele Bertipaglia, </w:t>
      </w:r>
      <w:hyperlink r:id="rId8" w:history="1">
        <w:r w:rsidRPr="00A97F45">
          <w:rPr>
            <w:rStyle w:val="Collegamentoipertestuale"/>
            <w:rFonts w:ascii="Tahoma" w:hAnsi="Tahoma" w:cs="Tahoma"/>
            <w:sz w:val="20"/>
            <w:szCs w:val="20"/>
          </w:rPr>
          <w:t>gabriele.bertipaglia@secnewgate.it</w:t>
        </w:r>
      </w:hyperlink>
      <w:r w:rsidRPr="00A97F45">
        <w:rPr>
          <w:rFonts w:ascii="Tahoma" w:hAnsi="Tahoma" w:cs="Tahoma"/>
          <w:sz w:val="20"/>
          <w:szCs w:val="20"/>
        </w:rPr>
        <w:t>, 335 7203720</w:t>
      </w:r>
    </w:p>
    <w:p w14:paraId="3BDF65CD" w14:textId="5AC5BF32" w:rsidR="00401C7B" w:rsidRPr="00A97F45" w:rsidRDefault="00401C7B" w:rsidP="00401C7B">
      <w:pPr>
        <w:jc w:val="both"/>
        <w:rPr>
          <w:rFonts w:ascii="Tahoma" w:hAnsi="Tahoma" w:cs="Tahoma"/>
          <w:sz w:val="20"/>
          <w:szCs w:val="20"/>
        </w:rPr>
      </w:pPr>
      <w:r w:rsidRPr="00A97F45">
        <w:rPr>
          <w:rFonts w:ascii="Tahoma" w:hAnsi="Tahoma" w:cs="Tahoma"/>
          <w:sz w:val="20"/>
          <w:szCs w:val="20"/>
        </w:rPr>
        <w:t xml:space="preserve">Francesco Clovis, </w:t>
      </w:r>
      <w:hyperlink r:id="rId9" w:history="1">
        <w:r w:rsidRPr="00A97F45">
          <w:rPr>
            <w:rStyle w:val="Collegamentoipertestuale"/>
            <w:rFonts w:ascii="Tahoma" w:hAnsi="Tahoma" w:cs="Tahoma"/>
            <w:sz w:val="20"/>
            <w:szCs w:val="20"/>
          </w:rPr>
          <w:t>francesco.clovis@secnewgate.it</w:t>
        </w:r>
      </w:hyperlink>
      <w:r w:rsidRPr="00A97F45">
        <w:rPr>
          <w:rFonts w:ascii="Tahoma" w:hAnsi="Tahoma" w:cs="Tahoma"/>
          <w:sz w:val="20"/>
          <w:szCs w:val="20"/>
        </w:rPr>
        <w:t xml:space="preserve">, </w:t>
      </w:r>
      <w:hyperlink r:id="rId10" w:history="1">
        <w:r w:rsidRPr="00A97F45">
          <w:rPr>
            <w:rFonts w:ascii="Tahoma" w:hAnsi="Tahoma" w:cs="Tahoma"/>
            <w:sz w:val="20"/>
            <w:szCs w:val="20"/>
          </w:rPr>
          <w:t>348 2606548</w:t>
        </w:r>
      </w:hyperlink>
    </w:p>
    <w:p w14:paraId="7FE55299" w14:textId="36BC4ACB" w:rsidR="006A0893" w:rsidRDefault="00401C7B" w:rsidP="00B86327">
      <w:pPr>
        <w:jc w:val="both"/>
        <w:rPr>
          <w:rFonts w:ascii="Tahoma" w:hAnsi="Tahoma" w:cs="Tahoma"/>
          <w:sz w:val="48"/>
          <w:szCs w:val="48"/>
        </w:rPr>
      </w:pPr>
      <w:r w:rsidRPr="00A97F45">
        <w:rPr>
          <w:rFonts w:ascii="Tahoma" w:hAnsi="Tahoma" w:cs="Tahoma"/>
          <w:sz w:val="20"/>
          <w:szCs w:val="20"/>
        </w:rPr>
        <w:t xml:space="preserve">Cecilia Chiarini, </w:t>
      </w:r>
      <w:hyperlink r:id="rId11" w:history="1">
        <w:r w:rsidRPr="00A97F45">
          <w:rPr>
            <w:rStyle w:val="Hyperlink1"/>
          </w:rPr>
          <w:t>cecilia.chiarini@secnewgate.it</w:t>
        </w:r>
      </w:hyperlink>
      <w:r w:rsidRPr="00A97F45">
        <w:rPr>
          <w:rFonts w:ascii="Tahoma" w:hAnsi="Tahoma" w:cs="Tahoma"/>
          <w:sz w:val="20"/>
          <w:szCs w:val="20"/>
        </w:rPr>
        <w:t>, 333 5920477</w:t>
      </w:r>
    </w:p>
    <w:sectPr w:rsidR="006A0893" w:rsidSect="00BB75E9">
      <w:headerReference w:type="default" r:id="rId12"/>
      <w:footerReference w:type="default" r:id="rId13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07C164" w14:textId="77777777" w:rsidR="00267A23" w:rsidRDefault="00267A23" w:rsidP="00DA1604">
      <w:r>
        <w:separator/>
      </w:r>
    </w:p>
  </w:endnote>
  <w:endnote w:type="continuationSeparator" w:id="0">
    <w:p w14:paraId="11AD96A8" w14:textId="77777777" w:rsidR="00267A23" w:rsidRDefault="00267A23" w:rsidP="00DA1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59701934"/>
      <w:docPartObj>
        <w:docPartGallery w:val="Page Numbers (Bottom of Page)"/>
        <w:docPartUnique/>
      </w:docPartObj>
    </w:sdtPr>
    <w:sdtContent>
      <w:p w14:paraId="21DB0A6C" w14:textId="005562DF" w:rsidR="000902E2" w:rsidRDefault="000902E2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4620147" w14:textId="77777777" w:rsidR="000902E2" w:rsidRDefault="000902E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3BFDE3" w14:textId="77777777" w:rsidR="00267A23" w:rsidRDefault="00267A23" w:rsidP="00DA1604">
      <w:r>
        <w:separator/>
      </w:r>
    </w:p>
  </w:footnote>
  <w:footnote w:type="continuationSeparator" w:id="0">
    <w:p w14:paraId="1FE99F90" w14:textId="77777777" w:rsidR="00267A23" w:rsidRDefault="00267A23" w:rsidP="00DA1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C9489" w14:textId="5E0FA206" w:rsidR="00CC34E7" w:rsidRDefault="00DA1604" w:rsidP="007A4361">
    <w:pPr>
      <w:pStyle w:val="Intestazione"/>
      <w:rPr>
        <w:color w:val="767171" w:themeColor="background2" w:themeShade="80"/>
      </w:rPr>
    </w:pPr>
    <w:r w:rsidRPr="004370D6">
      <w:rPr>
        <w:noProof/>
      </w:rPr>
      <w:drawing>
        <wp:anchor distT="0" distB="0" distL="114300" distR="114300" simplePos="0" relativeHeight="251659264" behindDoc="0" locked="0" layoutInCell="1" allowOverlap="1" wp14:anchorId="16BFD4A8" wp14:editId="5A0FEC00">
          <wp:simplePos x="0" y="0"/>
          <wp:positionH relativeFrom="margin">
            <wp:align>left</wp:align>
          </wp:positionH>
          <wp:positionV relativeFrom="paragraph">
            <wp:posOffset>2955</wp:posOffset>
          </wp:positionV>
          <wp:extent cx="786765" cy="567690"/>
          <wp:effectExtent l="0" t="0" r="0" b="3810"/>
          <wp:wrapSquare wrapText="bothSides"/>
          <wp:docPr id="4" name="Immagine 4" descr="Immagine che contiene testo, Carattere, schermata, Elementi grafici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4" descr="Immagine che contiene testo, Carattere, schermata, Elementi grafici&#10;&#10;Il contenuto generato dall'IA potrebbe non essere corretto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6765" cy="567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86E5CE1" w14:textId="77777777" w:rsidR="00CC34E7" w:rsidRDefault="00CC34E7" w:rsidP="009527A0">
    <w:pPr>
      <w:pStyle w:val="Intestazione"/>
      <w:tabs>
        <w:tab w:val="clear" w:pos="4819"/>
        <w:tab w:val="clear" w:pos="9638"/>
        <w:tab w:val="left" w:pos="1683"/>
      </w:tabs>
      <w:jc w:val="center"/>
      <w:rPr>
        <w:color w:val="767171" w:themeColor="background2" w:themeShade="80"/>
      </w:rPr>
    </w:pPr>
  </w:p>
  <w:p w14:paraId="6B5AB1AF" w14:textId="093034E3" w:rsidR="00DA1604" w:rsidRDefault="00483D78" w:rsidP="00483D78">
    <w:pPr>
      <w:pStyle w:val="Intestazione"/>
      <w:jc w:val="center"/>
    </w:pPr>
    <w:r>
      <w:rPr>
        <w:color w:val="767171" w:themeColor="background2" w:themeShade="80"/>
      </w:rPr>
      <w:t>COMUNICATO STAM</w:t>
    </w:r>
    <w:r w:rsidR="0018183A">
      <w:rPr>
        <w:color w:val="767171" w:themeColor="background2" w:themeShade="80"/>
      </w:rPr>
      <w:t>P</w:t>
    </w:r>
    <w:r>
      <w:rPr>
        <w:color w:val="767171" w:themeColor="background2" w:themeShade="80"/>
      </w:rPr>
      <w:t>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29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861"/>
    <w:rsid w:val="000025DD"/>
    <w:rsid w:val="00005BB8"/>
    <w:rsid w:val="000139E7"/>
    <w:rsid w:val="00013A8F"/>
    <w:rsid w:val="0001587D"/>
    <w:rsid w:val="00021055"/>
    <w:rsid w:val="00026862"/>
    <w:rsid w:val="0005017D"/>
    <w:rsid w:val="00054A54"/>
    <w:rsid w:val="000902E2"/>
    <w:rsid w:val="000A4C25"/>
    <w:rsid w:val="000D5098"/>
    <w:rsid w:val="000E56CB"/>
    <w:rsid w:val="0012484D"/>
    <w:rsid w:val="00127842"/>
    <w:rsid w:val="00127B8A"/>
    <w:rsid w:val="001359E5"/>
    <w:rsid w:val="00136A78"/>
    <w:rsid w:val="0015476C"/>
    <w:rsid w:val="001645FE"/>
    <w:rsid w:val="00175ABF"/>
    <w:rsid w:val="0018183A"/>
    <w:rsid w:val="00195618"/>
    <w:rsid w:val="001C39AB"/>
    <w:rsid w:val="001E5C60"/>
    <w:rsid w:val="00223DCA"/>
    <w:rsid w:val="00225C04"/>
    <w:rsid w:val="00241AEC"/>
    <w:rsid w:val="002449E2"/>
    <w:rsid w:val="002528AE"/>
    <w:rsid w:val="00267A23"/>
    <w:rsid w:val="002A16CB"/>
    <w:rsid w:val="002A2E0D"/>
    <w:rsid w:val="002A3143"/>
    <w:rsid w:val="002B3A80"/>
    <w:rsid w:val="002C2BE4"/>
    <w:rsid w:val="002F6B3A"/>
    <w:rsid w:val="00306E87"/>
    <w:rsid w:val="00326426"/>
    <w:rsid w:val="003311E3"/>
    <w:rsid w:val="00341A45"/>
    <w:rsid w:val="00347BD6"/>
    <w:rsid w:val="00353A02"/>
    <w:rsid w:val="003751AD"/>
    <w:rsid w:val="003845BC"/>
    <w:rsid w:val="00395CCB"/>
    <w:rsid w:val="00395F60"/>
    <w:rsid w:val="003A3766"/>
    <w:rsid w:val="003B34FF"/>
    <w:rsid w:val="003E0249"/>
    <w:rsid w:val="003E37F9"/>
    <w:rsid w:val="003F2394"/>
    <w:rsid w:val="00401C7B"/>
    <w:rsid w:val="00402D3D"/>
    <w:rsid w:val="00414E43"/>
    <w:rsid w:val="0044429E"/>
    <w:rsid w:val="004454F8"/>
    <w:rsid w:val="00452051"/>
    <w:rsid w:val="00464F78"/>
    <w:rsid w:val="00483D78"/>
    <w:rsid w:val="00486188"/>
    <w:rsid w:val="00495BFF"/>
    <w:rsid w:val="004C1489"/>
    <w:rsid w:val="004D1BD3"/>
    <w:rsid w:val="004E0DF6"/>
    <w:rsid w:val="0051372F"/>
    <w:rsid w:val="00520525"/>
    <w:rsid w:val="00524E02"/>
    <w:rsid w:val="0052538A"/>
    <w:rsid w:val="00533FB3"/>
    <w:rsid w:val="00540C94"/>
    <w:rsid w:val="00546B26"/>
    <w:rsid w:val="00546FE0"/>
    <w:rsid w:val="0055270C"/>
    <w:rsid w:val="00576DCC"/>
    <w:rsid w:val="00592DF8"/>
    <w:rsid w:val="005A0919"/>
    <w:rsid w:val="005A14C8"/>
    <w:rsid w:val="005C2C1B"/>
    <w:rsid w:val="005C6A14"/>
    <w:rsid w:val="005D57FF"/>
    <w:rsid w:val="005D59DC"/>
    <w:rsid w:val="005E33DA"/>
    <w:rsid w:val="00607D00"/>
    <w:rsid w:val="00620160"/>
    <w:rsid w:val="00676C1B"/>
    <w:rsid w:val="006A0893"/>
    <w:rsid w:val="006A3057"/>
    <w:rsid w:val="006B337F"/>
    <w:rsid w:val="006C24FA"/>
    <w:rsid w:val="006D0182"/>
    <w:rsid w:val="00716839"/>
    <w:rsid w:val="0071715A"/>
    <w:rsid w:val="00750552"/>
    <w:rsid w:val="007554FA"/>
    <w:rsid w:val="00761728"/>
    <w:rsid w:val="007672C5"/>
    <w:rsid w:val="00773247"/>
    <w:rsid w:val="0077504D"/>
    <w:rsid w:val="00776603"/>
    <w:rsid w:val="007806EE"/>
    <w:rsid w:val="007A28D5"/>
    <w:rsid w:val="007A4361"/>
    <w:rsid w:val="007A736F"/>
    <w:rsid w:val="007B4DCA"/>
    <w:rsid w:val="007C0670"/>
    <w:rsid w:val="008108B9"/>
    <w:rsid w:val="00813BEC"/>
    <w:rsid w:val="00864017"/>
    <w:rsid w:val="00883D64"/>
    <w:rsid w:val="008C589E"/>
    <w:rsid w:val="00902DD7"/>
    <w:rsid w:val="00903FB1"/>
    <w:rsid w:val="00904959"/>
    <w:rsid w:val="009062DC"/>
    <w:rsid w:val="009254B7"/>
    <w:rsid w:val="0094189F"/>
    <w:rsid w:val="00944DF5"/>
    <w:rsid w:val="009527A0"/>
    <w:rsid w:val="0095290D"/>
    <w:rsid w:val="0098612A"/>
    <w:rsid w:val="009B55FB"/>
    <w:rsid w:val="009D43C9"/>
    <w:rsid w:val="009D6B73"/>
    <w:rsid w:val="009E2898"/>
    <w:rsid w:val="009E7424"/>
    <w:rsid w:val="00A056A8"/>
    <w:rsid w:val="00A07011"/>
    <w:rsid w:val="00A07CA4"/>
    <w:rsid w:val="00A150BB"/>
    <w:rsid w:val="00A16423"/>
    <w:rsid w:val="00A17232"/>
    <w:rsid w:val="00A6606A"/>
    <w:rsid w:val="00A97F45"/>
    <w:rsid w:val="00AB3C1D"/>
    <w:rsid w:val="00AD55D6"/>
    <w:rsid w:val="00AF2D41"/>
    <w:rsid w:val="00AF77ED"/>
    <w:rsid w:val="00B40861"/>
    <w:rsid w:val="00B516E9"/>
    <w:rsid w:val="00B5268C"/>
    <w:rsid w:val="00B55848"/>
    <w:rsid w:val="00B801D9"/>
    <w:rsid w:val="00B827EF"/>
    <w:rsid w:val="00B86327"/>
    <w:rsid w:val="00B867B0"/>
    <w:rsid w:val="00BA7493"/>
    <w:rsid w:val="00BA790E"/>
    <w:rsid w:val="00BB75E9"/>
    <w:rsid w:val="00BC4ED5"/>
    <w:rsid w:val="00BE716F"/>
    <w:rsid w:val="00C17AB1"/>
    <w:rsid w:val="00C24117"/>
    <w:rsid w:val="00C26285"/>
    <w:rsid w:val="00C35AA8"/>
    <w:rsid w:val="00C50787"/>
    <w:rsid w:val="00C80E2E"/>
    <w:rsid w:val="00CC34E7"/>
    <w:rsid w:val="00CC4DAF"/>
    <w:rsid w:val="00CE11EB"/>
    <w:rsid w:val="00CF159C"/>
    <w:rsid w:val="00D26192"/>
    <w:rsid w:val="00D27124"/>
    <w:rsid w:val="00D46C9B"/>
    <w:rsid w:val="00D938AD"/>
    <w:rsid w:val="00DA1268"/>
    <w:rsid w:val="00DA1604"/>
    <w:rsid w:val="00DB2511"/>
    <w:rsid w:val="00DE3651"/>
    <w:rsid w:val="00E105CD"/>
    <w:rsid w:val="00E270B0"/>
    <w:rsid w:val="00E62CC2"/>
    <w:rsid w:val="00EB65AC"/>
    <w:rsid w:val="00EE4473"/>
    <w:rsid w:val="00EF36FC"/>
    <w:rsid w:val="00F14E1C"/>
    <w:rsid w:val="00F17DFB"/>
    <w:rsid w:val="00F21266"/>
    <w:rsid w:val="00F246F2"/>
    <w:rsid w:val="00F37C5E"/>
    <w:rsid w:val="00F7381D"/>
    <w:rsid w:val="00F80215"/>
    <w:rsid w:val="00F824E3"/>
    <w:rsid w:val="00F9431E"/>
    <w:rsid w:val="00FB2A88"/>
    <w:rsid w:val="00FC5EDA"/>
    <w:rsid w:val="00FD1841"/>
    <w:rsid w:val="00FF2B4A"/>
    <w:rsid w:val="00FF7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B67D9"/>
  <w15:chartTrackingRefBased/>
  <w15:docId w15:val="{0735F76A-F988-2540-B911-0A5CF1A0A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408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408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4086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408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4086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4086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4086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4086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4086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408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408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4086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40861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40861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4086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4086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4086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4086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4086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408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4086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408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4086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4086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4086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40861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408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40861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40861"/>
    <w:rPr>
      <w:b/>
      <w:bCs/>
      <w:smallCaps/>
      <w:color w:val="2F5496" w:themeColor="accent1" w:themeShade="BF"/>
      <w:spacing w:val="5"/>
    </w:rPr>
  </w:style>
  <w:style w:type="paragraph" w:styleId="NormaleWeb">
    <w:name w:val="Normal (Web)"/>
    <w:basedOn w:val="Normale"/>
    <w:uiPriority w:val="99"/>
    <w:unhideWhenUsed/>
    <w:rsid w:val="00F17DF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rsid w:val="00DA160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A1604"/>
  </w:style>
  <w:style w:type="paragraph" w:styleId="Pidipagina">
    <w:name w:val="footer"/>
    <w:basedOn w:val="Normale"/>
    <w:link w:val="PidipaginaCarattere"/>
    <w:uiPriority w:val="99"/>
    <w:unhideWhenUsed/>
    <w:rsid w:val="00DA160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A1604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CC34E7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CC34E7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CC34E7"/>
    <w:rPr>
      <w:vertAlign w:val="superscript"/>
    </w:rPr>
  </w:style>
  <w:style w:type="character" w:customStyle="1" w:styleId="Hyperlink0">
    <w:name w:val="Hyperlink.0"/>
    <w:basedOn w:val="Carpredefinitoparagrafo"/>
    <w:rsid w:val="00401C7B"/>
    <w:rPr>
      <w:rFonts w:ascii="Tahoma" w:eastAsia="Tahoma" w:hAnsi="Tahoma" w:cs="Tahoma"/>
      <w:outline w:val="0"/>
      <w:color w:val="0000FF"/>
      <w:sz w:val="16"/>
      <w:szCs w:val="16"/>
      <w:u w:val="single" w:color="0000FF"/>
    </w:rPr>
  </w:style>
  <w:style w:type="character" w:customStyle="1" w:styleId="Hyperlink1">
    <w:name w:val="Hyperlink.1"/>
    <w:basedOn w:val="Carpredefinitoparagrafo"/>
    <w:rsid w:val="00401C7B"/>
    <w:rPr>
      <w:rFonts w:ascii="Tahoma" w:eastAsia="Tahoma" w:hAnsi="Tahoma" w:cs="Tahoma"/>
      <w:outline w:val="0"/>
      <w:color w:val="0000FF"/>
      <w:sz w:val="20"/>
      <w:szCs w:val="20"/>
      <w:u w:val="single" w:color="0000FF"/>
    </w:rPr>
  </w:style>
  <w:style w:type="character" w:styleId="Collegamentoipertestuale">
    <w:name w:val="Hyperlink"/>
    <w:basedOn w:val="Carpredefinitoparagrafo"/>
    <w:uiPriority w:val="99"/>
    <w:unhideWhenUsed/>
    <w:rsid w:val="00401C7B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01C7B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Carpredefinitoparagrafo"/>
    <w:rsid w:val="00DA1268"/>
  </w:style>
  <w:style w:type="character" w:styleId="Enfasigrassetto">
    <w:name w:val="Strong"/>
    <w:basedOn w:val="Carpredefinitoparagrafo"/>
    <w:uiPriority w:val="22"/>
    <w:qFormat/>
    <w:rsid w:val="00DA1268"/>
    <w:rPr>
      <w:b/>
      <w:bCs/>
    </w:rPr>
  </w:style>
  <w:style w:type="character" w:styleId="Enfasicorsivo">
    <w:name w:val="Emphasis"/>
    <w:basedOn w:val="Carpredefinitoparagrafo"/>
    <w:uiPriority w:val="20"/>
    <w:qFormat/>
    <w:rsid w:val="00DA126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661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0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briele.bertipaglia@secnewgate.it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sussidiarieta.net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cecilia.chiarini@secnewgate.it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tel:+39348260654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francesco.clovis@secnewgate.it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3E6E1BF-F747-4E79-98D3-8DC6D93A5B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927</Words>
  <Characters>5285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Cecilia Chiarini</dc:creator>
  <cp:keywords/>
  <dc:description/>
  <cp:lastModifiedBy>Attilio De Pascalis</cp:lastModifiedBy>
  <cp:revision>8</cp:revision>
  <dcterms:created xsi:type="dcterms:W3CDTF">2025-02-19T09:02:00Z</dcterms:created>
  <dcterms:modified xsi:type="dcterms:W3CDTF">2025-02-19T09:17:00Z</dcterms:modified>
</cp:coreProperties>
</file>