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C8" w:rsidRDefault="00D816C8" w:rsidP="00F74CE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Analisi della </w:t>
      </w:r>
      <w:r w:rsidR="00647877" w:rsidRPr="00A24678">
        <w:rPr>
          <w:rFonts w:ascii="Tahoma" w:hAnsi="Tahoma" w:cs="Tahoma"/>
          <w:b/>
          <w:sz w:val="28"/>
          <w:szCs w:val="28"/>
        </w:rPr>
        <w:t>Fondazione per la Sussidiarietà</w:t>
      </w:r>
      <w:r w:rsidR="006D5908">
        <w:rPr>
          <w:rFonts w:ascii="Tahoma" w:hAnsi="Tahoma" w:cs="Tahoma"/>
          <w:b/>
          <w:sz w:val="28"/>
          <w:szCs w:val="28"/>
        </w:rPr>
        <w:t xml:space="preserve"> sui trend bancari</w:t>
      </w:r>
    </w:p>
    <w:p w:rsidR="00552590" w:rsidRPr="00A24678" w:rsidRDefault="00552590" w:rsidP="0055259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 dieci anni “spariti”</w:t>
      </w:r>
      <w:r w:rsidR="00411CD8">
        <w:rPr>
          <w:rFonts w:ascii="Tahoma" w:hAnsi="Tahoma" w:cs="Tahoma"/>
          <w:b/>
          <w:sz w:val="28"/>
          <w:szCs w:val="28"/>
        </w:rPr>
        <w:t xml:space="preserve"> </w:t>
      </w:r>
      <w:r w:rsidRPr="00A24678">
        <w:rPr>
          <w:rFonts w:ascii="Tahoma" w:hAnsi="Tahoma" w:cs="Tahoma"/>
          <w:b/>
          <w:sz w:val="28"/>
          <w:szCs w:val="28"/>
        </w:rPr>
        <w:t>10.000 sportelli</w:t>
      </w:r>
      <w:r>
        <w:rPr>
          <w:rFonts w:ascii="Tahoma" w:hAnsi="Tahoma" w:cs="Tahoma"/>
          <w:b/>
          <w:sz w:val="28"/>
          <w:szCs w:val="28"/>
        </w:rPr>
        <w:t>, cresce l’home banking</w:t>
      </w:r>
    </w:p>
    <w:p w:rsidR="00F74CED" w:rsidRPr="008E645D" w:rsidRDefault="00F74CED" w:rsidP="00F74CE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23403" w:rsidRPr="005B2D14" w:rsidRDefault="001F6DA7" w:rsidP="00F74CE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 xml:space="preserve">In dieci anni </w:t>
      </w:r>
      <w:r w:rsidR="00F03DDD" w:rsidRPr="005B2D14">
        <w:rPr>
          <w:rFonts w:ascii="Tahoma" w:hAnsi="Tahoma" w:cs="Tahoma"/>
          <w:sz w:val="24"/>
          <w:szCs w:val="24"/>
        </w:rPr>
        <w:t xml:space="preserve">in Italia sono “spariti” </w:t>
      </w:r>
      <w:r w:rsidR="00EE43E8" w:rsidRPr="005B2D14">
        <w:rPr>
          <w:rFonts w:ascii="Tahoma" w:hAnsi="Tahoma" w:cs="Tahoma"/>
          <w:sz w:val="24"/>
          <w:szCs w:val="24"/>
        </w:rPr>
        <w:t xml:space="preserve">quasi </w:t>
      </w:r>
      <w:r w:rsidRPr="005B2D14">
        <w:rPr>
          <w:rFonts w:ascii="Tahoma" w:hAnsi="Tahoma" w:cs="Tahoma"/>
          <w:sz w:val="24"/>
          <w:szCs w:val="24"/>
        </w:rPr>
        <w:t>10.000</w:t>
      </w:r>
      <w:r w:rsidR="00513488" w:rsidRPr="005B2D14">
        <w:rPr>
          <w:rFonts w:ascii="Tahoma" w:hAnsi="Tahoma" w:cs="Tahoma"/>
          <w:sz w:val="24"/>
          <w:szCs w:val="24"/>
        </w:rPr>
        <w:t xml:space="preserve"> sportelli bancari</w:t>
      </w:r>
      <w:r w:rsidR="00EE43E8" w:rsidRPr="005B2D14">
        <w:rPr>
          <w:rFonts w:ascii="Tahoma" w:hAnsi="Tahoma" w:cs="Tahoma"/>
          <w:sz w:val="24"/>
          <w:szCs w:val="24"/>
        </w:rPr>
        <w:t xml:space="preserve">: </w:t>
      </w:r>
      <w:r w:rsidRPr="005B2D14">
        <w:rPr>
          <w:rFonts w:ascii="Tahoma" w:hAnsi="Tahoma" w:cs="Tahoma"/>
          <w:sz w:val="24"/>
          <w:szCs w:val="24"/>
        </w:rPr>
        <w:t xml:space="preserve">da 34.036 </w:t>
      </w:r>
      <w:r w:rsidR="00513488" w:rsidRPr="005B2D14">
        <w:rPr>
          <w:rFonts w:ascii="Tahoma" w:hAnsi="Tahoma" w:cs="Tahoma"/>
          <w:sz w:val="24"/>
          <w:szCs w:val="24"/>
        </w:rPr>
        <w:t xml:space="preserve">a </w:t>
      </w:r>
      <w:r w:rsidR="00673E45" w:rsidRPr="005B2D14">
        <w:rPr>
          <w:rFonts w:ascii="Tahoma" w:hAnsi="Tahoma" w:cs="Tahoma"/>
          <w:sz w:val="24"/>
          <w:szCs w:val="24"/>
        </w:rPr>
        <w:t xml:space="preserve">inizio 2010 </w:t>
      </w:r>
      <w:r w:rsidRPr="005B2D14">
        <w:rPr>
          <w:rFonts w:ascii="Tahoma" w:hAnsi="Tahoma" w:cs="Tahoma"/>
          <w:sz w:val="24"/>
          <w:szCs w:val="24"/>
        </w:rPr>
        <w:t>a 24.312 all’inizio del 2020</w:t>
      </w:r>
      <w:r w:rsidR="00B810B6" w:rsidRPr="005B2D14">
        <w:rPr>
          <w:rFonts w:ascii="Tahoma" w:hAnsi="Tahoma" w:cs="Tahoma"/>
          <w:sz w:val="24"/>
          <w:szCs w:val="24"/>
        </w:rPr>
        <w:t xml:space="preserve">, </w:t>
      </w:r>
      <w:r w:rsidR="00FA0F8B" w:rsidRPr="005B2D14">
        <w:rPr>
          <w:rFonts w:ascii="Tahoma" w:hAnsi="Tahoma" w:cs="Tahoma"/>
          <w:sz w:val="24"/>
          <w:szCs w:val="24"/>
        </w:rPr>
        <w:t xml:space="preserve">circa </w:t>
      </w:r>
      <w:r w:rsidR="00B810B6" w:rsidRPr="005B2D14">
        <w:rPr>
          <w:rFonts w:ascii="Tahoma" w:hAnsi="Tahoma" w:cs="Tahoma"/>
          <w:sz w:val="24"/>
          <w:szCs w:val="24"/>
        </w:rPr>
        <w:t>il 30%</w:t>
      </w:r>
      <w:r w:rsidR="00F17036" w:rsidRPr="005B2D14">
        <w:rPr>
          <w:rFonts w:ascii="Tahoma" w:hAnsi="Tahoma" w:cs="Tahoma"/>
          <w:sz w:val="24"/>
          <w:szCs w:val="24"/>
        </w:rPr>
        <w:t xml:space="preserve"> in meno</w:t>
      </w:r>
      <w:r w:rsidR="00B810B6" w:rsidRPr="005B2D14">
        <w:rPr>
          <w:rFonts w:ascii="Tahoma" w:hAnsi="Tahoma" w:cs="Tahoma"/>
          <w:sz w:val="24"/>
          <w:szCs w:val="24"/>
        </w:rPr>
        <w:t>.</w:t>
      </w:r>
      <w:r w:rsidR="00496FF8" w:rsidRPr="005B2D14">
        <w:rPr>
          <w:rFonts w:ascii="Tahoma" w:hAnsi="Tahoma" w:cs="Tahoma"/>
          <w:sz w:val="24"/>
          <w:szCs w:val="24"/>
        </w:rPr>
        <w:t xml:space="preserve"> </w:t>
      </w:r>
      <w:r w:rsidR="00EE43E8" w:rsidRPr="005B2D14">
        <w:rPr>
          <w:rFonts w:ascii="Tahoma" w:hAnsi="Tahoma" w:cs="Tahoma"/>
          <w:sz w:val="24"/>
          <w:szCs w:val="24"/>
        </w:rPr>
        <w:t xml:space="preserve">Ogni 100.000 </w:t>
      </w:r>
      <w:r w:rsidR="00774595" w:rsidRPr="005B2D14">
        <w:rPr>
          <w:rFonts w:ascii="Tahoma" w:hAnsi="Tahoma" w:cs="Tahoma"/>
          <w:sz w:val="24"/>
          <w:szCs w:val="24"/>
        </w:rPr>
        <w:t xml:space="preserve">abitanti </w:t>
      </w:r>
      <w:r w:rsidR="00EE43E8" w:rsidRPr="005B2D14">
        <w:rPr>
          <w:rFonts w:ascii="Tahoma" w:hAnsi="Tahoma" w:cs="Tahoma"/>
          <w:sz w:val="24"/>
          <w:szCs w:val="24"/>
        </w:rPr>
        <w:t xml:space="preserve">adulti ci sono ora </w:t>
      </w:r>
      <w:r w:rsidR="000D296F" w:rsidRPr="005B2D14">
        <w:rPr>
          <w:rFonts w:ascii="Tahoma" w:hAnsi="Tahoma" w:cs="Tahoma"/>
          <w:sz w:val="24"/>
          <w:szCs w:val="24"/>
        </w:rPr>
        <w:t xml:space="preserve">39 </w:t>
      </w:r>
      <w:r w:rsidR="009A2BDC" w:rsidRPr="005B2D14">
        <w:rPr>
          <w:rFonts w:ascii="Tahoma" w:hAnsi="Tahoma" w:cs="Tahoma"/>
          <w:sz w:val="24"/>
          <w:szCs w:val="24"/>
        </w:rPr>
        <w:t>filiali</w:t>
      </w:r>
      <w:r w:rsidR="00FA0F8B" w:rsidRPr="005B2D14">
        <w:rPr>
          <w:rFonts w:ascii="Tahoma" w:hAnsi="Tahoma" w:cs="Tahoma"/>
          <w:sz w:val="24"/>
          <w:szCs w:val="24"/>
        </w:rPr>
        <w:t>, rispetto a</w:t>
      </w:r>
      <w:r w:rsidR="008E645D" w:rsidRPr="005B2D14">
        <w:rPr>
          <w:rFonts w:ascii="Tahoma" w:hAnsi="Tahoma" w:cs="Tahoma"/>
          <w:sz w:val="24"/>
          <w:szCs w:val="24"/>
        </w:rPr>
        <w:t>lle</w:t>
      </w:r>
      <w:r w:rsidR="00FA0F8B" w:rsidRPr="005B2D14">
        <w:rPr>
          <w:rFonts w:ascii="Tahoma" w:hAnsi="Tahoma" w:cs="Tahoma"/>
          <w:sz w:val="24"/>
          <w:szCs w:val="24"/>
        </w:rPr>
        <w:t xml:space="preserve"> </w:t>
      </w:r>
      <w:r w:rsidR="000D296F" w:rsidRPr="005B2D14">
        <w:rPr>
          <w:rFonts w:ascii="Tahoma" w:hAnsi="Tahoma" w:cs="Tahoma"/>
          <w:sz w:val="24"/>
          <w:szCs w:val="24"/>
        </w:rPr>
        <w:t xml:space="preserve">56 </w:t>
      </w:r>
      <w:r w:rsidR="00FA0F8B" w:rsidRPr="005B2D14">
        <w:rPr>
          <w:rFonts w:ascii="Tahoma" w:hAnsi="Tahoma" w:cs="Tahoma"/>
          <w:sz w:val="24"/>
          <w:szCs w:val="24"/>
        </w:rPr>
        <w:t xml:space="preserve">di </w:t>
      </w:r>
      <w:r w:rsidR="00496FF8" w:rsidRPr="005B2D14">
        <w:rPr>
          <w:rFonts w:ascii="Tahoma" w:hAnsi="Tahoma" w:cs="Tahoma"/>
          <w:sz w:val="24"/>
          <w:szCs w:val="24"/>
        </w:rPr>
        <w:t>inizio decennio</w:t>
      </w:r>
      <w:r w:rsidR="00774595" w:rsidRPr="005B2D14">
        <w:rPr>
          <w:rFonts w:ascii="Tahoma" w:hAnsi="Tahoma" w:cs="Tahoma"/>
          <w:sz w:val="24"/>
          <w:szCs w:val="24"/>
        </w:rPr>
        <w:t>.</w:t>
      </w:r>
      <w:r w:rsidR="00496FF8" w:rsidRPr="005B2D14">
        <w:rPr>
          <w:rFonts w:ascii="Tahoma" w:hAnsi="Tahoma" w:cs="Tahoma"/>
          <w:sz w:val="24"/>
          <w:szCs w:val="24"/>
        </w:rPr>
        <w:t xml:space="preserve"> </w:t>
      </w:r>
      <w:r w:rsidR="00774595" w:rsidRPr="005B2D14">
        <w:rPr>
          <w:rFonts w:ascii="Tahoma" w:hAnsi="Tahoma" w:cs="Tahoma"/>
          <w:sz w:val="24"/>
          <w:szCs w:val="24"/>
        </w:rPr>
        <w:t xml:space="preserve">La </w:t>
      </w:r>
      <w:r w:rsidR="00496FF8" w:rsidRPr="005B2D14">
        <w:rPr>
          <w:rFonts w:ascii="Tahoma" w:hAnsi="Tahoma" w:cs="Tahoma"/>
          <w:sz w:val="24"/>
          <w:szCs w:val="24"/>
        </w:rPr>
        <w:t xml:space="preserve">media europea </w:t>
      </w:r>
      <w:r w:rsidR="00774595" w:rsidRPr="005B2D14">
        <w:rPr>
          <w:rFonts w:ascii="Tahoma" w:hAnsi="Tahoma" w:cs="Tahoma"/>
          <w:sz w:val="24"/>
          <w:szCs w:val="24"/>
        </w:rPr>
        <w:t xml:space="preserve">si colloca a </w:t>
      </w:r>
      <w:r w:rsidR="00A4407F" w:rsidRPr="005B2D14">
        <w:rPr>
          <w:rFonts w:ascii="Tahoma" w:hAnsi="Tahoma" w:cs="Tahoma"/>
          <w:sz w:val="24"/>
          <w:szCs w:val="24"/>
        </w:rPr>
        <w:t>22</w:t>
      </w:r>
      <w:r w:rsidR="00496FF8" w:rsidRPr="005B2D14">
        <w:rPr>
          <w:rFonts w:ascii="Tahoma" w:hAnsi="Tahoma" w:cs="Tahoma"/>
          <w:sz w:val="24"/>
          <w:szCs w:val="24"/>
        </w:rPr>
        <w:t>.</w:t>
      </w:r>
    </w:p>
    <w:p w:rsidR="006B0F07" w:rsidRDefault="00105A98" w:rsidP="002148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 xml:space="preserve">È quanto emerge </w:t>
      </w:r>
      <w:r w:rsidR="009C6DDF" w:rsidRPr="005B2D14">
        <w:rPr>
          <w:rFonts w:ascii="Tahoma" w:hAnsi="Tahoma" w:cs="Tahoma"/>
          <w:sz w:val="24"/>
          <w:szCs w:val="24"/>
        </w:rPr>
        <w:t xml:space="preserve">dal Rapporto </w:t>
      </w:r>
      <w:r w:rsidR="00411CD8" w:rsidRPr="007C79C3">
        <w:rPr>
          <w:rFonts w:ascii="Tahoma" w:hAnsi="Tahoma" w:cs="Tahoma"/>
          <w:sz w:val="24"/>
          <w:szCs w:val="24"/>
        </w:rPr>
        <w:t xml:space="preserve">“Sussidiarietà e… </w:t>
      </w:r>
      <w:r w:rsidR="009C6DDF" w:rsidRPr="007C79C3">
        <w:rPr>
          <w:rFonts w:ascii="Tahoma" w:hAnsi="Tahoma" w:cs="Tahoma"/>
          <w:sz w:val="24"/>
          <w:szCs w:val="24"/>
        </w:rPr>
        <w:t>finanza sostenibile</w:t>
      </w:r>
      <w:r w:rsidR="00411CD8" w:rsidRPr="007C79C3">
        <w:rPr>
          <w:rFonts w:ascii="Tahoma" w:hAnsi="Tahoma" w:cs="Tahoma"/>
          <w:sz w:val="24"/>
          <w:szCs w:val="24"/>
        </w:rPr>
        <w:t>”</w:t>
      </w:r>
      <w:r w:rsidR="009C6DDF" w:rsidRPr="005B2D14">
        <w:rPr>
          <w:rFonts w:ascii="Tahoma" w:hAnsi="Tahoma" w:cs="Tahoma"/>
          <w:sz w:val="24"/>
          <w:szCs w:val="24"/>
        </w:rPr>
        <w:t xml:space="preserve"> </w:t>
      </w:r>
      <w:r w:rsidRPr="005B2D14">
        <w:rPr>
          <w:rFonts w:ascii="Tahoma" w:hAnsi="Tahoma" w:cs="Tahoma"/>
          <w:sz w:val="24"/>
          <w:szCs w:val="24"/>
        </w:rPr>
        <w:t>della Fondazione per la Sussidiarietà</w:t>
      </w:r>
      <w:r w:rsidR="00957BE9" w:rsidRPr="005B2D14">
        <w:rPr>
          <w:rFonts w:ascii="Tahoma" w:hAnsi="Tahoma" w:cs="Tahoma"/>
          <w:sz w:val="24"/>
          <w:szCs w:val="24"/>
        </w:rPr>
        <w:t>.</w:t>
      </w:r>
    </w:p>
    <w:p w:rsidR="00223403" w:rsidRPr="005B2D14" w:rsidRDefault="00813C51" w:rsidP="002148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>“</w:t>
      </w:r>
      <w:r w:rsidR="00214840" w:rsidRPr="005B2D14">
        <w:rPr>
          <w:rFonts w:ascii="Tahoma" w:hAnsi="Tahoma" w:cs="Tahoma"/>
          <w:sz w:val="24"/>
          <w:szCs w:val="24"/>
        </w:rPr>
        <w:t xml:space="preserve">Il digitale, </w:t>
      </w:r>
      <w:r w:rsidR="00C428E7" w:rsidRPr="005B2D14">
        <w:rPr>
          <w:rFonts w:ascii="Tahoma" w:hAnsi="Tahoma" w:cs="Tahoma"/>
          <w:sz w:val="24"/>
          <w:szCs w:val="24"/>
        </w:rPr>
        <w:t>la concorrenza</w:t>
      </w:r>
      <w:r w:rsidR="0000248A" w:rsidRPr="005B2D14">
        <w:rPr>
          <w:rFonts w:ascii="Tahoma" w:hAnsi="Tahoma" w:cs="Tahoma"/>
          <w:sz w:val="24"/>
          <w:szCs w:val="24"/>
        </w:rPr>
        <w:t xml:space="preserve"> </w:t>
      </w:r>
      <w:r w:rsidR="00214840" w:rsidRPr="005B2D14">
        <w:rPr>
          <w:rFonts w:ascii="Tahoma" w:hAnsi="Tahoma" w:cs="Tahoma"/>
          <w:sz w:val="24"/>
          <w:szCs w:val="24"/>
        </w:rPr>
        <w:t xml:space="preserve">e la </w:t>
      </w:r>
      <w:r w:rsidR="0000248A" w:rsidRPr="005B2D14">
        <w:rPr>
          <w:rFonts w:ascii="Tahoma" w:hAnsi="Tahoma" w:cs="Tahoma"/>
          <w:sz w:val="24"/>
          <w:szCs w:val="24"/>
        </w:rPr>
        <w:t xml:space="preserve">sfida della </w:t>
      </w:r>
      <w:r w:rsidR="00214840" w:rsidRPr="005B2D14">
        <w:rPr>
          <w:rFonts w:ascii="Tahoma" w:hAnsi="Tahoma" w:cs="Tahoma"/>
          <w:sz w:val="24"/>
          <w:szCs w:val="24"/>
        </w:rPr>
        <w:t xml:space="preserve">sostenibilità stanno </w:t>
      </w:r>
      <w:r w:rsidRPr="005B2D14">
        <w:rPr>
          <w:rFonts w:ascii="Tahoma" w:hAnsi="Tahoma" w:cs="Tahoma"/>
          <w:sz w:val="24"/>
          <w:szCs w:val="24"/>
        </w:rPr>
        <w:t>rivoluzion</w:t>
      </w:r>
      <w:r w:rsidR="00214840" w:rsidRPr="005B2D14">
        <w:rPr>
          <w:rFonts w:ascii="Tahoma" w:hAnsi="Tahoma" w:cs="Tahoma"/>
          <w:sz w:val="24"/>
          <w:szCs w:val="24"/>
        </w:rPr>
        <w:t>ando</w:t>
      </w:r>
      <w:r w:rsidR="00223403" w:rsidRPr="005B2D14">
        <w:rPr>
          <w:rFonts w:ascii="Tahoma" w:hAnsi="Tahoma" w:cs="Tahoma"/>
          <w:sz w:val="24"/>
          <w:szCs w:val="24"/>
        </w:rPr>
        <w:t xml:space="preserve"> </w:t>
      </w:r>
      <w:r w:rsidR="008D0C16" w:rsidRPr="005B2D14">
        <w:rPr>
          <w:rFonts w:ascii="Tahoma" w:hAnsi="Tahoma" w:cs="Tahoma"/>
          <w:sz w:val="24"/>
          <w:szCs w:val="24"/>
        </w:rPr>
        <w:t xml:space="preserve">le </w:t>
      </w:r>
      <w:r w:rsidR="00223403" w:rsidRPr="005B2D14">
        <w:rPr>
          <w:rFonts w:ascii="Tahoma" w:hAnsi="Tahoma" w:cs="Tahoma"/>
          <w:sz w:val="24"/>
          <w:szCs w:val="24"/>
        </w:rPr>
        <w:t>banche</w:t>
      </w:r>
      <w:r w:rsidR="00C428E7" w:rsidRPr="005B2D14">
        <w:rPr>
          <w:rFonts w:ascii="Tahoma" w:hAnsi="Tahoma" w:cs="Tahoma"/>
          <w:sz w:val="24"/>
          <w:szCs w:val="24"/>
        </w:rPr>
        <w:t xml:space="preserve"> </w:t>
      </w:r>
      <w:r w:rsidR="0000248A" w:rsidRPr="005B2D14">
        <w:rPr>
          <w:rFonts w:ascii="Tahoma" w:hAnsi="Tahoma" w:cs="Tahoma"/>
          <w:sz w:val="24"/>
          <w:szCs w:val="24"/>
        </w:rPr>
        <w:t>e le relazioni con i clienti</w:t>
      </w:r>
      <w:r w:rsidRPr="005B2D14">
        <w:rPr>
          <w:rFonts w:ascii="Tahoma" w:hAnsi="Tahoma" w:cs="Tahoma"/>
          <w:sz w:val="24"/>
          <w:szCs w:val="24"/>
        </w:rPr>
        <w:t>”, osserva Giorgio Vittadini, presidente della Fondazione</w:t>
      </w:r>
      <w:r w:rsidR="0000248A" w:rsidRPr="005B2D14">
        <w:rPr>
          <w:rFonts w:ascii="Tahoma" w:hAnsi="Tahoma" w:cs="Tahoma"/>
          <w:sz w:val="24"/>
          <w:szCs w:val="24"/>
        </w:rPr>
        <w:t>.</w:t>
      </w:r>
    </w:p>
    <w:p w:rsidR="00A4407F" w:rsidRPr="005B2D14" w:rsidRDefault="00A4407F" w:rsidP="002148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F6DA7" w:rsidRPr="005B2D14" w:rsidRDefault="00BF33E0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>In Europa</w:t>
      </w:r>
      <w:r w:rsidR="00817E2A" w:rsidRPr="005B2D14">
        <w:rPr>
          <w:rFonts w:ascii="Tahoma" w:hAnsi="Tahoma" w:cs="Tahoma"/>
          <w:sz w:val="24"/>
          <w:szCs w:val="24"/>
        </w:rPr>
        <w:t xml:space="preserve"> </w:t>
      </w:r>
      <w:r w:rsidR="00D544B6" w:rsidRPr="005B2D14">
        <w:rPr>
          <w:rFonts w:ascii="Tahoma" w:hAnsi="Tahoma" w:cs="Tahoma"/>
          <w:sz w:val="24"/>
          <w:szCs w:val="24"/>
        </w:rPr>
        <w:t>l’indic</w:t>
      </w:r>
      <w:r w:rsidRPr="005B2D14">
        <w:rPr>
          <w:rFonts w:ascii="Tahoma" w:hAnsi="Tahoma" w:cs="Tahoma"/>
          <w:sz w:val="24"/>
          <w:szCs w:val="24"/>
        </w:rPr>
        <w:t>e</w:t>
      </w:r>
      <w:r w:rsidR="00D544B6" w:rsidRPr="005B2D14">
        <w:rPr>
          <w:rFonts w:ascii="Tahoma" w:hAnsi="Tahoma" w:cs="Tahoma"/>
          <w:sz w:val="24"/>
          <w:szCs w:val="24"/>
        </w:rPr>
        <w:t xml:space="preserve"> </w:t>
      </w:r>
      <w:r w:rsidR="00B22CFD" w:rsidRPr="005B2D14">
        <w:rPr>
          <w:rFonts w:ascii="Tahoma" w:hAnsi="Tahoma" w:cs="Tahoma"/>
          <w:sz w:val="24"/>
          <w:szCs w:val="24"/>
        </w:rPr>
        <w:t xml:space="preserve">filiali </w:t>
      </w:r>
      <w:r w:rsidR="00817E2A" w:rsidRPr="005B2D14">
        <w:rPr>
          <w:rFonts w:ascii="Tahoma" w:hAnsi="Tahoma" w:cs="Tahoma"/>
          <w:sz w:val="24"/>
          <w:szCs w:val="24"/>
        </w:rPr>
        <w:t>bancari</w:t>
      </w:r>
      <w:r w:rsidR="00B22CFD" w:rsidRPr="005B2D14">
        <w:rPr>
          <w:rFonts w:ascii="Tahoma" w:hAnsi="Tahoma" w:cs="Tahoma"/>
          <w:sz w:val="24"/>
          <w:szCs w:val="24"/>
        </w:rPr>
        <w:t>e</w:t>
      </w:r>
      <w:r w:rsidR="00817E2A" w:rsidRPr="005B2D14">
        <w:rPr>
          <w:rFonts w:ascii="Tahoma" w:hAnsi="Tahoma" w:cs="Tahoma"/>
          <w:sz w:val="24"/>
          <w:szCs w:val="24"/>
        </w:rPr>
        <w:t xml:space="preserve"> </w:t>
      </w:r>
      <w:r w:rsidR="00DD1D85" w:rsidRPr="005B2D14">
        <w:rPr>
          <w:rFonts w:ascii="Tahoma" w:hAnsi="Tahoma" w:cs="Tahoma"/>
          <w:sz w:val="24"/>
          <w:szCs w:val="24"/>
        </w:rPr>
        <w:t xml:space="preserve">ogni </w:t>
      </w:r>
      <w:r w:rsidR="00C9167C" w:rsidRPr="005B2D14">
        <w:rPr>
          <w:rFonts w:ascii="Tahoma" w:hAnsi="Tahoma" w:cs="Tahoma"/>
          <w:sz w:val="24"/>
          <w:szCs w:val="24"/>
        </w:rPr>
        <w:t xml:space="preserve">100.000 </w:t>
      </w:r>
      <w:r w:rsidR="00817E2A" w:rsidRPr="005B2D14">
        <w:rPr>
          <w:rFonts w:ascii="Tahoma" w:hAnsi="Tahoma" w:cs="Tahoma"/>
          <w:sz w:val="24"/>
          <w:szCs w:val="24"/>
        </w:rPr>
        <w:t xml:space="preserve">abitanti </w:t>
      </w:r>
      <w:r w:rsidR="00DA677A" w:rsidRPr="005B2D14">
        <w:rPr>
          <w:rFonts w:ascii="Tahoma" w:hAnsi="Tahoma" w:cs="Tahoma"/>
          <w:sz w:val="24"/>
          <w:szCs w:val="24"/>
        </w:rPr>
        <w:t xml:space="preserve">vede </w:t>
      </w:r>
      <w:r w:rsidR="00034EA9" w:rsidRPr="005B2D14">
        <w:rPr>
          <w:rFonts w:ascii="Tahoma" w:hAnsi="Tahoma" w:cs="Tahoma"/>
          <w:sz w:val="24"/>
          <w:szCs w:val="24"/>
        </w:rPr>
        <w:t>spiccare</w:t>
      </w:r>
      <w:r w:rsidR="00817E2A" w:rsidRPr="005B2D14">
        <w:rPr>
          <w:rFonts w:ascii="Tahoma" w:hAnsi="Tahoma" w:cs="Tahoma"/>
          <w:sz w:val="24"/>
          <w:szCs w:val="24"/>
        </w:rPr>
        <w:t xml:space="preserve"> </w:t>
      </w:r>
      <w:r w:rsidR="00B22CFD" w:rsidRPr="005B2D14">
        <w:rPr>
          <w:rFonts w:ascii="Tahoma" w:hAnsi="Tahoma" w:cs="Tahoma"/>
          <w:sz w:val="24"/>
          <w:szCs w:val="24"/>
        </w:rPr>
        <w:t xml:space="preserve">per efficienza </w:t>
      </w:r>
      <w:r w:rsidR="00817E2A" w:rsidRPr="005B2D14">
        <w:rPr>
          <w:rFonts w:ascii="Tahoma" w:hAnsi="Tahoma" w:cs="Tahoma"/>
          <w:sz w:val="24"/>
          <w:szCs w:val="24"/>
        </w:rPr>
        <w:t>Finlandia (</w:t>
      </w:r>
      <w:r w:rsidR="00177B80" w:rsidRPr="005B2D14">
        <w:rPr>
          <w:rFonts w:ascii="Tahoma" w:hAnsi="Tahoma" w:cs="Tahoma"/>
          <w:sz w:val="24"/>
          <w:szCs w:val="24"/>
        </w:rPr>
        <w:t>5</w:t>
      </w:r>
      <w:r w:rsidR="00817E2A" w:rsidRPr="005B2D14">
        <w:rPr>
          <w:rFonts w:ascii="Tahoma" w:hAnsi="Tahoma" w:cs="Tahoma"/>
          <w:sz w:val="24"/>
          <w:szCs w:val="24"/>
        </w:rPr>
        <w:t>), Olanda (9)</w:t>
      </w:r>
      <w:r w:rsidR="00177B80" w:rsidRPr="005B2D14">
        <w:rPr>
          <w:rFonts w:ascii="Tahoma" w:hAnsi="Tahoma" w:cs="Tahoma"/>
          <w:sz w:val="24"/>
          <w:szCs w:val="24"/>
        </w:rPr>
        <w:t xml:space="preserve">, </w:t>
      </w:r>
      <w:r w:rsidR="00C9167C" w:rsidRPr="005B2D14">
        <w:rPr>
          <w:rFonts w:ascii="Tahoma" w:hAnsi="Tahoma" w:cs="Tahoma"/>
          <w:sz w:val="24"/>
          <w:szCs w:val="24"/>
        </w:rPr>
        <w:t>Germania (11)</w:t>
      </w:r>
      <w:r w:rsidR="00177B80" w:rsidRPr="005B2D14">
        <w:rPr>
          <w:rFonts w:ascii="Tahoma" w:hAnsi="Tahoma" w:cs="Tahoma"/>
          <w:sz w:val="24"/>
          <w:szCs w:val="24"/>
        </w:rPr>
        <w:t xml:space="preserve"> e Austria (12).</w:t>
      </w:r>
      <w:r w:rsidR="00591907" w:rsidRPr="005B2D14">
        <w:rPr>
          <w:rFonts w:ascii="Tahoma" w:hAnsi="Tahoma" w:cs="Tahoma"/>
          <w:sz w:val="24"/>
          <w:szCs w:val="24"/>
        </w:rPr>
        <w:t xml:space="preserve"> </w:t>
      </w:r>
      <w:r w:rsidR="00B22CFD" w:rsidRPr="005B2D14">
        <w:rPr>
          <w:rFonts w:ascii="Tahoma" w:hAnsi="Tahoma" w:cs="Tahoma"/>
          <w:sz w:val="24"/>
          <w:szCs w:val="24"/>
        </w:rPr>
        <w:t xml:space="preserve">In coda </w:t>
      </w:r>
      <w:r w:rsidR="00591907" w:rsidRPr="005B2D14">
        <w:rPr>
          <w:rFonts w:ascii="Tahoma" w:hAnsi="Tahoma" w:cs="Tahoma"/>
          <w:sz w:val="24"/>
          <w:szCs w:val="24"/>
        </w:rPr>
        <w:t>Portogallo</w:t>
      </w:r>
      <w:r w:rsidR="007F3A4E" w:rsidRPr="005B2D14">
        <w:rPr>
          <w:rFonts w:ascii="Tahoma" w:hAnsi="Tahoma" w:cs="Tahoma"/>
          <w:sz w:val="24"/>
          <w:szCs w:val="24"/>
        </w:rPr>
        <w:t xml:space="preserve"> (38)</w:t>
      </w:r>
      <w:r w:rsidR="00591907" w:rsidRPr="005B2D14">
        <w:rPr>
          <w:rFonts w:ascii="Tahoma" w:hAnsi="Tahoma" w:cs="Tahoma"/>
          <w:sz w:val="24"/>
          <w:szCs w:val="24"/>
        </w:rPr>
        <w:t xml:space="preserve">, </w:t>
      </w:r>
      <w:r w:rsidR="00D61AFE" w:rsidRPr="005B2D14">
        <w:rPr>
          <w:rFonts w:ascii="Tahoma" w:hAnsi="Tahoma" w:cs="Tahoma"/>
          <w:sz w:val="24"/>
          <w:szCs w:val="24"/>
        </w:rPr>
        <w:t xml:space="preserve">Italia (39), </w:t>
      </w:r>
      <w:r w:rsidR="00591907" w:rsidRPr="005B2D14">
        <w:rPr>
          <w:rFonts w:ascii="Tahoma" w:hAnsi="Tahoma" w:cs="Tahoma"/>
          <w:sz w:val="24"/>
          <w:szCs w:val="24"/>
        </w:rPr>
        <w:t xml:space="preserve">Spagna </w:t>
      </w:r>
      <w:r w:rsidR="007F3A4E" w:rsidRPr="005B2D14">
        <w:rPr>
          <w:rFonts w:ascii="Tahoma" w:hAnsi="Tahoma" w:cs="Tahoma"/>
          <w:sz w:val="24"/>
          <w:szCs w:val="24"/>
        </w:rPr>
        <w:t xml:space="preserve">(50) </w:t>
      </w:r>
      <w:r w:rsidR="00591907" w:rsidRPr="005B2D14">
        <w:rPr>
          <w:rFonts w:ascii="Tahoma" w:hAnsi="Tahoma" w:cs="Tahoma"/>
          <w:sz w:val="24"/>
          <w:szCs w:val="24"/>
        </w:rPr>
        <w:t>e Bulgaria</w:t>
      </w:r>
      <w:r w:rsidR="007F3A4E" w:rsidRPr="005B2D14">
        <w:rPr>
          <w:rFonts w:ascii="Tahoma" w:hAnsi="Tahoma" w:cs="Tahoma"/>
          <w:sz w:val="24"/>
          <w:szCs w:val="24"/>
        </w:rPr>
        <w:t xml:space="preserve"> (60)</w:t>
      </w:r>
      <w:r w:rsidR="00591907" w:rsidRPr="005B2D14">
        <w:rPr>
          <w:rFonts w:ascii="Tahoma" w:hAnsi="Tahoma" w:cs="Tahoma"/>
          <w:sz w:val="24"/>
          <w:szCs w:val="24"/>
        </w:rPr>
        <w:t>.</w:t>
      </w:r>
      <w:r w:rsidR="00255304" w:rsidRPr="005B2D14">
        <w:rPr>
          <w:rFonts w:ascii="Tahoma" w:hAnsi="Tahoma" w:cs="Tahoma"/>
          <w:sz w:val="24"/>
          <w:szCs w:val="24"/>
        </w:rPr>
        <w:t xml:space="preserve"> Un caso </w:t>
      </w:r>
      <w:r w:rsidR="00A57F2D" w:rsidRPr="005B2D14">
        <w:rPr>
          <w:rFonts w:ascii="Tahoma" w:hAnsi="Tahoma" w:cs="Tahoma"/>
          <w:sz w:val="24"/>
          <w:szCs w:val="24"/>
        </w:rPr>
        <w:t>a sé il Lussemburgo, (65) legato</w:t>
      </w:r>
      <w:r w:rsidR="00255304" w:rsidRPr="005B2D14">
        <w:rPr>
          <w:rFonts w:ascii="Tahoma" w:hAnsi="Tahoma" w:cs="Tahoma"/>
          <w:sz w:val="24"/>
          <w:szCs w:val="24"/>
        </w:rPr>
        <w:t xml:space="preserve"> </w:t>
      </w:r>
      <w:r w:rsidR="00097077" w:rsidRPr="005B2D14">
        <w:rPr>
          <w:rFonts w:ascii="Tahoma" w:hAnsi="Tahoma" w:cs="Tahoma"/>
          <w:sz w:val="24"/>
          <w:szCs w:val="24"/>
        </w:rPr>
        <w:t>alla storica vocazione finanziaria del Granducato.</w:t>
      </w:r>
      <w:r w:rsidR="0069154F">
        <w:rPr>
          <w:rFonts w:ascii="Tahoma" w:hAnsi="Tahoma" w:cs="Tahoma"/>
          <w:sz w:val="24"/>
          <w:szCs w:val="24"/>
        </w:rPr>
        <w:t xml:space="preserve"> </w:t>
      </w:r>
      <w:r w:rsidR="00804712" w:rsidRPr="005B2D14">
        <w:rPr>
          <w:rFonts w:ascii="Tahoma" w:hAnsi="Tahoma" w:cs="Tahoma"/>
          <w:sz w:val="24"/>
          <w:szCs w:val="24"/>
        </w:rPr>
        <w:t xml:space="preserve">Gli sportelli tricolore sono circa il </w:t>
      </w:r>
      <w:r w:rsidR="009C6E80" w:rsidRPr="005B2D14">
        <w:rPr>
          <w:rFonts w:ascii="Tahoma" w:hAnsi="Tahoma" w:cs="Tahoma"/>
          <w:sz w:val="24"/>
          <w:szCs w:val="24"/>
        </w:rPr>
        <w:t>1</w:t>
      </w:r>
      <w:r w:rsidR="00A9488D" w:rsidRPr="005B2D14">
        <w:rPr>
          <w:rFonts w:ascii="Tahoma" w:hAnsi="Tahoma" w:cs="Tahoma"/>
          <w:sz w:val="24"/>
          <w:szCs w:val="24"/>
        </w:rPr>
        <w:t>5</w:t>
      </w:r>
      <w:r w:rsidR="009C6E80" w:rsidRPr="005B2D14">
        <w:rPr>
          <w:rFonts w:ascii="Tahoma" w:hAnsi="Tahoma" w:cs="Tahoma"/>
          <w:sz w:val="24"/>
          <w:szCs w:val="24"/>
        </w:rPr>
        <w:t>%</w:t>
      </w:r>
      <w:r w:rsidR="00804712" w:rsidRPr="005B2D14">
        <w:rPr>
          <w:rFonts w:ascii="Tahoma" w:hAnsi="Tahoma" w:cs="Tahoma"/>
          <w:sz w:val="24"/>
          <w:szCs w:val="24"/>
        </w:rPr>
        <w:t xml:space="preserve"> del totale </w:t>
      </w:r>
      <w:r w:rsidR="00B62157" w:rsidRPr="005B2D14">
        <w:rPr>
          <w:rFonts w:ascii="Tahoma" w:hAnsi="Tahoma" w:cs="Tahoma"/>
          <w:sz w:val="24"/>
          <w:szCs w:val="24"/>
        </w:rPr>
        <w:t>del Vecchio Continente</w:t>
      </w:r>
      <w:r w:rsidR="009C6E80" w:rsidRPr="005B2D14">
        <w:rPr>
          <w:rFonts w:ascii="Tahoma" w:hAnsi="Tahoma" w:cs="Tahoma"/>
          <w:sz w:val="24"/>
          <w:szCs w:val="24"/>
        </w:rPr>
        <w:t>.</w:t>
      </w:r>
      <w:r w:rsidR="00561ACE" w:rsidRPr="005B2D14">
        <w:rPr>
          <w:rFonts w:ascii="Tahoma" w:hAnsi="Tahoma" w:cs="Tahoma"/>
          <w:sz w:val="24"/>
          <w:szCs w:val="24"/>
        </w:rPr>
        <w:t xml:space="preserve"> Negli ultimi cinque anni le reti bancarie continentali hanno subito una </w:t>
      </w:r>
      <w:r w:rsidR="00D77F00" w:rsidRPr="005B2D14">
        <w:rPr>
          <w:rFonts w:ascii="Tahoma" w:hAnsi="Tahoma" w:cs="Tahoma"/>
          <w:sz w:val="24"/>
          <w:szCs w:val="24"/>
        </w:rPr>
        <w:t>“</w:t>
      </w:r>
      <w:r w:rsidR="00561ACE" w:rsidRPr="005B2D14">
        <w:rPr>
          <w:rFonts w:ascii="Tahoma" w:hAnsi="Tahoma" w:cs="Tahoma"/>
          <w:sz w:val="24"/>
          <w:szCs w:val="24"/>
        </w:rPr>
        <w:t>cura dimagrante</w:t>
      </w:r>
      <w:r w:rsidR="00D77F00" w:rsidRPr="005B2D14">
        <w:rPr>
          <w:rFonts w:ascii="Tahoma" w:hAnsi="Tahoma" w:cs="Tahoma"/>
          <w:sz w:val="24"/>
          <w:szCs w:val="24"/>
        </w:rPr>
        <w:t>”</w:t>
      </w:r>
      <w:r w:rsidR="00561ACE" w:rsidRPr="005B2D14">
        <w:rPr>
          <w:rFonts w:ascii="Tahoma" w:hAnsi="Tahoma" w:cs="Tahoma"/>
          <w:sz w:val="24"/>
          <w:szCs w:val="24"/>
        </w:rPr>
        <w:t xml:space="preserve"> di circa un terzo, mentre </w:t>
      </w:r>
      <w:r w:rsidR="00B62157" w:rsidRPr="005B2D14">
        <w:rPr>
          <w:rFonts w:ascii="Tahoma" w:hAnsi="Tahoma" w:cs="Tahoma"/>
          <w:sz w:val="24"/>
          <w:szCs w:val="24"/>
        </w:rPr>
        <w:t>i</w:t>
      </w:r>
      <w:r w:rsidR="00561ACE" w:rsidRPr="005B2D14">
        <w:rPr>
          <w:rFonts w:ascii="Tahoma" w:hAnsi="Tahoma" w:cs="Tahoma"/>
          <w:sz w:val="24"/>
          <w:szCs w:val="24"/>
        </w:rPr>
        <w:t>n Italia è stata di un quinto.</w:t>
      </w:r>
    </w:p>
    <w:p w:rsidR="00950838" w:rsidRPr="005B2D14" w:rsidRDefault="00950838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27F0C" w:rsidRPr="005B2D14" w:rsidRDefault="00427F0C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 xml:space="preserve">Osservando la situazione </w:t>
      </w:r>
      <w:r w:rsidR="00AF0652" w:rsidRPr="005B2D14">
        <w:rPr>
          <w:rFonts w:ascii="Tahoma" w:hAnsi="Tahoma" w:cs="Tahoma"/>
          <w:sz w:val="24"/>
          <w:szCs w:val="24"/>
        </w:rPr>
        <w:t>territoriale</w:t>
      </w:r>
      <w:r w:rsidR="00D269BA" w:rsidRPr="005B2D14">
        <w:rPr>
          <w:rFonts w:ascii="Tahoma" w:hAnsi="Tahoma" w:cs="Tahoma"/>
          <w:sz w:val="24"/>
          <w:szCs w:val="24"/>
        </w:rPr>
        <w:t xml:space="preserve"> </w:t>
      </w:r>
      <w:r w:rsidR="00D77F00" w:rsidRPr="005B2D14">
        <w:rPr>
          <w:rFonts w:ascii="Tahoma" w:hAnsi="Tahoma" w:cs="Tahoma"/>
          <w:sz w:val="24"/>
          <w:szCs w:val="24"/>
        </w:rPr>
        <w:t>nella Penisola</w:t>
      </w:r>
      <w:r w:rsidRPr="005B2D14">
        <w:rPr>
          <w:rFonts w:ascii="Tahoma" w:hAnsi="Tahoma" w:cs="Tahoma"/>
          <w:sz w:val="24"/>
          <w:szCs w:val="24"/>
        </w:rPr>
        <w:t xml:space="preserve">, il Sud è più “europeo” rispetto al Nord. </w:t>
      </w:r>
      <w:r w:rsidR="00256792" w:rsidRPr="005B2D14">
        <w:rPr>
          <w:rFonts w:ascii="Tahoma" w:hAnsi="Tahoma" w:cs="Tahoma"/>
          <w:sz w:val="24"/>
          <w:szCs w:val="24"/>
        </w:rPr>
        <w:t xml:space="preserve">Le agenzie </w:t>
      </w:r>
      <w:r w:rsidRPr="005B2D14">
        <w:rPr>
          <w:rFonts w:ascii="Tahoma" w:hAnsi="Tahoma" w:cs="Tahoma"/>
          <w:sz w:val="24"/>
          <w:szCs w:val="24"/>
        </w:rPr>
        <w:t>ogni 100.00</w:t>
      </w:r>
      <w:r w:rsidR="001715A7" w:rsidRPr="005B2D14">
        <w:rPr>
          <w:rFonts w:ascii="Tahoma" w:hAnsi="Tahoma" w:cs="Tahoma"/>
          <w:sz w:val="24"/>
          <w:szCs w:val="24"/>
        </w:rPr>
        <w:t>0</w:t>
      </w:r>
      <w:r w:rsidRPr="005B2D14">
        <w:rPr>
          <w:rFonts w:ascii="Tahoma" w:hAnsi="Tahoma" w:cs="Tahoma"/>
          <w:sz w:val="24"/>
          <w:szCs w:val="24"/>
        </w:rPr>
        <w:t xml:space="preserve"> abitanti sono </w:t>
      </w:r>
      <w:r w:rsidR="003E1455" w:rsidRPr="005B2D14">
        <w:rPr>
          <w:rFonts w:ascii="Tahoma" w:hAnsi="Tahoma" w:cs="Tahoma"/>
          <w:sz w:val="24"/>
          <w:szCs w:val="24"/>
        </w:rPr>
        <w:t xml:space="preserve">20 </w:t>
      </w:r>
      <w:r w:rsidRPr="005B2D14">
        <w:rPr>
          <w:rFonts w:ascii="Tahoma" w:hAnsi="Tahoma" w:cs="Tahoma"/>
          <w:sz w:val="24"/>
          <w:szCs w:val="24"/>
        </w:rPr>
        <w:t xml:space="preserve">in Calabria, </w:t>
      </w:r>
      <w:r w:rsidR="003E1455" w:rsidRPr="005B2D14">
        <w:rPr>
          <w:rFonts w:ascii="Tahoma" w:hAnsi="Tahoma" w:cs="Tahoma"/>
          <w:sz w:val="24"/>
          <w:szCs w:val="24"/>
        </w:rPr>
        <w:t xml:space="preserve">22 </w:t>
      </w:r>
      <w:r w:rsidRPr="005B2D14">
        <w:rPr>
          <w:rFonts w:ascii="Tahoma" w:hAnsi="Tahoma" w:cs="Tahoma"/>
          <w:sz w:val="24"/>
          <w:szCs w:val="24"/>
        </w:rPr>
        <w:t>in Campania</w:t>
      </w:r>
      <w:r w:rsidR="003E1455" w:rsidRPr="005B2D14">
        <w:rPr>
          <w:rFonts w:ascii="Tahoma" w:hAnsi="Tahoma" w:cs="Tahoma"/>
          <w:sz w:val="24"/>
          <w:szCs w:val="24"/>
        </w:rPr>
        <w:t xml:space="preserve"> e</w:t>
      </w:r>
      <w:r w:rsidRPr="005B2D14">
        <w:rPr>
          <w:rFonts w:ascii="Tahoma" w:hAnsi="Tahoma" w:cs="Tahoma"/>
          <w:sz w:val="24"/>
          <w:szCs w:val="24"/>
        </w:rPr>
        <w:t xml:space="preserve"> </w:t>
      </w:r>
      <w:r w:rsidR="003E1455" w:rsidRPr="005B2D14">
        <w:rPr>
          <w:rFonts w:ascii="Tahoma" w:hAnsi="Tahoma" w:cs="Tahoma"/>
          <w:sz w:val="24"/>
          <w:szCs w:val="24"/>
        </w:rPr>
        <w:t xml:space="preserve">25 </w:t>
      </w:r>
      <w:r w:rsidRPr="005B2D14">
        <w:rPr>
          <w:rFonts w:ascii="Tahoma" w:hAnsi="Tahoma" w:cs="Tahoma"/>
          <w:sz w:val="24"/>
          <w:szCs w:val="24"/>
        </w:rPr>
        <w:t>in Sicilia. Valori elevati, invece</w:t>
      </w:r>
      <w:r w:rsidR="00DF7394" w:rsidRPr="005B2D14">
        <w:rPr>
          <w:rFonts w:ascii="Tahoma" w:hAnsi="Tahoma" w:cs="Tahoma"/>
          <w:sz w:val="24"/>
          <w:szCs w:val="24"/>
        </w:rPr>
        <w:t>,</w:t>
      </w:r>
      <w:r w:rsidRPr="005B2D14">
        <w:rPr>
          <w:rFonts w:ascii="Tahoma" w:hAnsi="Tahoma" w:cs="Tahoma"/>
          <w:sz w:val="24"/>
          <w:szCs w:val="24"/>
        </w:rPr>
        <w:t xml:space="preserve"> in Trentino Alto Adige</w:t>
      </w:r>
      <w:r w:rsidR="003E1455" w:rsidRPr="005B2D14">
        <w:rPr>
          <w:rFonts w:ascii="Tahoma" w:hAnsi="Tahoma" w:cs="Tahoma"/>
          <w:sz w:val="24"/>
          <w:szCs w:val="24"/>
        </w:rPr>
        <w:t xml:space="preserve"> (70)</w:t>
      </w:r>
      <w:r w:rsidRPr="005B2D14">
        <w:rPr>
          <w:rFonts w:ascii="Tahoma" w:hAnsi="Tahoma" w:cs="Tahoma"/>
          <w:sz w:val="24"/>
          <w:szCs w:val="24"/>
        </w:rPr>
        <w:t xml:space="preserve">, </w:t>
      </w:r>
      <w:r w:rsidR="003E1455" w:rsidRPr="005B2D14">
        <w:rPr>
          <w:rFonts w:ascii="Tahoma" w:hAnsi="Tahoma" w:cs="Tahoma"/>
          <w:sz w:val="24"/>
          <w:szCs w:val="24"/>
        </w:rPr>
        <w:t>Valle d’Aosta (63)</w:t>
      </w:r>
      <w:r w:rsidR="000D4712" w:rsidRPr="005B2D14">
        <w:rPr>
          <w:rFonts w:ascii="Tahoma" w:hAnsi="Tahoma" w:cs="Tahoma"/>
          <w:sz w:val="24"/>
          <w:szCs w:val="24"/>
        </w:rPr>
        <w:t xml:space="preserve"> ed Emilia Ro</w:t>
      </w:r>
      <w:r w:rsidR="00DF7394" w:rsidRPr="005B2D14">
        <w:rPr>
          <w:rFonts w:ascii="Tahoma" w:hAnsi="Tahoma" w:cs="Tahoma"/>
          <w:sz w:val="24"/>
          <w:szCs w:val="24"/>
        </w:rPr>
        <w:t>m</w:t>
      </w:r>
      <w:r w:rsidR="000D4712" w:rsidRPr="005B2D14">
        <w:rPr>
          <w:rFonts w:ascii="Tahoma" w:hAnsi="Tahoma" w:cs="Tahoma"/>
          <w:sz w:val="24"/>
          <w:szCs w:val="24"/>
        </w:rPr>
        <w:t>agna (56)</w:t>
      </w:r>
      <w:r w:rsidR="003E1455" w:rsidRPr="005B2D14">
        <w:rPr>
          <w:rFonts w:ascii="Tahoma" w:hAnsi="Tahoma" w:cs="Tahoma"/>
          <w:sz w:val="24"/>
          <w:szCs w:val="24"/>
        </w:rPr>
        <w:t>.</w:t>
      </w:r>
      <w:r w:rsidR="00EB1AD0" w:rsidRPr="005B2D14">
        <w:rPr>
          <w:rFonts w:ascii="Tahoma" w:hAnsi="Tahoma" w:cs="Tahoma"/>
          <w:sz w:val="24"/>
          <w:szCs w:val="24"/>
        </w:rPr>
        <w:t xml:space="preserve"> </w:t>
      </w:r>
      <w:r w:rsidR="00DE461B" w:rsidRPr="005B2D14">
        <w:rPr>
          <w:rFonts w:ascii="Tahoma" w:hAnsi="Tahoma" w:cs="Tahoma"/>
          <w:sz w:val="24"/>
          <w:szCs w:val="24"/>
        </w:rPr>
        <w:t>L</w:t>
      </w:r>
      <w:r w:rsidR="00A05418" w:rsidRPr="005B2D14">
        <w:rPr>
          <w:rFonts w:ascii="Tahoma" w:hAnsi="Tahoma" w:cs="Tahoma"/>
          <w:sz w:val="24"/>
          <w:szCs w:val="24"/>
        </w:rPr>
        <w:t>a</w:t>
      </w:r>
      <w:r w:rsidR="00DE461B" w:rsidRPr="005B2D14">
        <w:rPr>
          <w:rFonts w:ascii="Tahoma" w:hAnsi="Tahoma" w:cs="Tahoma"/>
          <w:sz w:val="24"/>
          <w:szCs w:val="24"/>
        </w:rPr>
        <w:t xml:space="preserve"> </w:t>
      </w:r>
      <w:r w:rsidR="00960C16" w:rsidRPr="005B2D14">
        <w:rPr>
          <w:rFonts w:ascii="Tahoma" w:hAnsi="Tahoma" w:cs="Tahoma"/>
          <w:sz w:val="24"/>
          <w:szCs w:val="24"/>
        </w:rPr>
        <w:t xml:space="preserve">classifica per </w:t>
      </w:r>
      <w:r w:rsidR="00AF0652" w:rsidRPr="005B2D14">
        <w:rPr>
          <w:rFonts w:ascii="Tahoma" w:hAnsi="Tahoma" w:cs="Tahoma"/>
          <w:sz w:val="24"/>
          <w:szCs w:val="24"/>
        </w:rPr>
        <w:t xml:space="preserve">province </w:t>
      </w:r>
      <w:r w:rsidR="00960C16" w:rsidRPr="005B2D14">
        <w:rPr>
          <w:rFonts w:ascii="Tahoma" w:hAnsi="Tahoma" w:cs="Tahoma"/>
          <w:sz w:val="24"/>
          <w:szCs w:val="24"/>
        </w:rPr>
        <w:t xml:space="preserve">vede </w:t>
      </w:r>
      <w:r w:rsidR="00DE461B" w:rsidRPr="005B2D14">
        <w:rPr>
          <w:rFonts w:ascii="Tahoma" w:hAnsi="Tahoma" w:cs="Tahoma"/>
          <w:sz w:val="24"/>
          <w:szCs w:val="24"/>
        </w:rPr>
        <w:t xml:space="preserve">in cima </w:t>
      </w:r>
      <w:r w:rsidR="00AB03DA" w:rsidRPr="005B2D14">
        <w:rPr>
          <w:rFonts w:ascii="Tahoma" w:hAnsi="Tahoma" w:cs="Tahoma"/>
          <w:sz w:val="24"/>
          <w:szCs w:val="24"/>
        </w:rPr>
        <w:t>Reggio Calabria</w:t>
      </w:r>
      <w:r w:rsidR="00DE461B" w:rsidRPr="005B2D14">
        <w:rPr>
          <w:rFonts w:ascii="Tahoma" w:hAnsi="Tahoma" w:cs="Tahoma"/>
          <w:sz w:val="24"/>
          <w:szCs w:val="24"/>
        </w:rPr>
        <w:t>, Vibo Valentia e Caserta, con 17 filiali ogni 100.000 abitanti. In coda Trento (76), Cuneo (72) e Sondrio (71).</w:t>
      </w:r>
    </w:p>
    <w:p w:rsidR="00427F0C" w:rsidRPr="005B2D14" w:rsidRDefault="006C2260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 xml:space="preserve">Fra i grandi capoluoghi, </w:t>
      </w:r>
      <w:r w:rsidR="003C70BE" w:rsidRPr="005B2D14">
        <w:rPr>
          <w:rFonts w:ascii="Tahoma" w:hAnsi="Tahoma" w:cs="Tahoma"/>
          <w:sz w:val="24"/>
          <w:szCs w:val="24"/>
        </w:rPr>
        <w:t>Milano (41) e Roma (35) sono vicine alla media nazionale</w:t>
      </w:r>
      <w:r w:rsidR="00960C16" w:rsidRPr="005B2D14">
        <w:rPr>
          <w:rFonts w:ascii="Tahoma" w:hAnsi="Tahoma" w:cs="Tahoma"/>
          <w:sz w:val="24"/>
          <w:szCs w:val="24"/>
        </w:rPr>
        <w:t>.</w:t>
      </w:r>
      <w:r w:rsidR="003C70BE" w:rsidRPr="005B2D14">
        <w:rPr>
          <w:rFonts w:ascii="Tahoma" w:hAnsi="Tahoma" w:cs="Tahoma"/>
          <w:sz w:val="24"/>
          <w:szCs w:val="24"/>
        </w:rPr>
        <w:t xml:space="preserve"> Napoli </w:t>
      </w:r>
      <w:r w:rsidR="004326C4" w:rsidRPr="005B2D14">
        <w:rPr>
          <w:rFonts w:ascii="Tahoma" w:hAnsi="Tahoma" w:cs="Tahoma"/>
          <w:sz w:val="24"/>
          <w:szCs w:val="24"/>
        </w:rPr>
        <w:t>(20) svetta</w:t>
      </w:r>
      <w:r w:rsidR="00960C16" w:rsidRPr="005B2D14">
        <w:rPr>
          <w:rFonts w:ascii="Tahoma" w:hAnsi="Tahoma" w:cs="Tahoma"/>
          <w:sz w:val="24"/>
          <w:szCs w:val="24"/>
        </w:rPr>
        <w:t xml:space="preserve"> per efficienza. </w:t>
      </w:r>
      <w:r w:rsidR="004326C4" w:rsidRPr="005B2D14">
        <w:rPr>
          <w:rFonts w:ascii="Tahoma" w:hAnsi="Tahoma" w:cs="Tahoma"/>
          <w:sz w:val="24"/>
          <w:szCs w:val="24"/>
        </w:rPr>
        <w:t>Bologna (58) è indietro.</w:t>
      </w:r>
    </w:p>
    <w:p w:rsidR="006C2260" w:rsidRPr="005B2D14" w:rsidRDefault="006C2260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F6C7A" w:rsidRPr="005B2D14" w:rsidRDefault="00256792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>“</w:t>
      </w:r>
      <w:r w:rsidR="00187A98" w:rsidRPr="005B2D14">
        <w:rPr>
          <w:rFonts w:ascii="Tahoma" w:hAnsi="Tahoma" w:cs="Tahoma"/>
          <w:sz w:val="24"/>
          <w:szCs w:val="24"/>
        </w:rPr>
        <w:t xml:space="preserve">In Italia </w:t>
      </w:r>
      <w:r w:rsidR="00DE0105" w:rsidRPr="005B2D14">
        <w:rPr>
          <w:rFonts w:ascii="Tahoma" w:hAnsi="Tahoma" w:cs="Tahoma"/>
          <w:sz w:val="24"/>
          <w:szCs w:val="24"/>
        </w:rPr>
        <w:t xml:space="preserve">le </w:t>
      </w:r>
      <w:r w:rsidRPr="005B2D14">
        <w:rPr>
          <w:rFonts w:ascii="Tahoma" w:hAnsi="Tahoma" w:cs="Tahoma"/>
          <w:sz w:val="24"/>
          <w:szCs w:val="24"/>
        </w:rPr>
        <w:t xml:space="preserve">banche hanno </w:t>
      </w:r>
      <w:r w:rsidR="00FD16FC" w:rsidRPr="005B2D14">
        <w:rPr>
          <w:rFonts w:ascii="Tahoma" w:hAnsi="Tahoma" w:cs="Tahoma"/>
          <w:sz w:val="24"/>
          <w:szCs w:val="24"/>
        </w:rPr>
        <w:t xml:space="preserve">storicamente </w:t>
      </w:r>
      <w:r w:rsidR="006E40E2" w:rsidRPr="005B2D14">
        <w:rPr>
          <w:rFonts w:ascii="Tahoma" w:hAnsi="Tahoma" w:cs="Tahoma"/>
          <w:sz w:val="24"/>
          <w:szCs w:val="24"/>
        </w:rPr>
        <w:t xml:space="preserve">privilegiato </w:t>
      </w:r>
      <w:r w:rsidR="00494286" w:rsidRPr="005B2D14">
        <w:rPr>
          <w:rFonts w:ascii="Tahoma" w:hAnsi="Tahoma" w:cs="Tahoma"/>
          <w:sz w:val="24"/>
          <w:szCs w:val="24"/>
        </w:rPr>
        <w:t>le aree più sviluppate</w:t>
      </w:r>
      <w:r w:rsidRPr="005B2D14">
        <w:rPr>
          <w:rFonts w:ascii="Tahoma" w:hAnsi="Tahoma" w:cs="Tahoma"/>
          <w:sz w:val="24"/>
          <w:szCs w:val="24"/>
        </w:rPr>
        <w:t xml:space="preserve">, con maggiore </w:t>
      </w:r>
      <w:r w:rsidR="0069001B" w:rsidRPr="005B2D14">
        <w:rPr>
          <w:rFonts w:ascii="Tahoma" w:hAnsi="Tahoma" w:cs="Tahoma"/>
          <w:sz w:val="24"/>
          <w:szCs w:val="24"/>
        </w:rPr>
        <w:t xml:space="preserve">presenza </w:t>
      </w:r>
      <w:r w:rsidRPr="005B2D14">
        <w:rPr>
          <w:rFonts w:ascii="Tahoma" w:hAnsi="Tahoma" w:cs="Tahoma"/>
          <w:sz w:val="24"/>
          <w:szCs w:val="24"/>
        </w:rPr>
        <w:t xml:space="preserve">di imprese e </w:t>
      </w:r>
      <w:r w:rsidR="0069001B" w:rsidRPr="005B2D14">
        <w:rPr>
          <w:rFonts w:ascii="Tahoma" w:hAnsi="Tahoma" w:cs="Tahoma"/>
          <w:sz w:val="24"/>
          <w:szCs w:val="24"/>
        </w:rPr>
        <w:t xml:space="preserve">clienti ad </w:t>
      </w:r>
      <w:r w:rsidRPr="005B2D14">
        <w:rPr>
          <w:rFonts w:ascii="Tahoma" w:hAnsi="Tahoma" w:cs="Tahoma"/>
          <w:sz w:val="24"/>
          <w:szCs w:val="24"/>
        </w:rPr>
        <w:t>alt</w:t>
      </w:r>
      <w:r w:rsidR="0069001B" w:rsidRPr="005B2D14">
        <w:rPr>
          <w:rFonts w:ascii="Tahoma" w:hAnsi="Tahoma" w:cs="Tahoma"/>
          <w:sz w:val="24"/>
          <w:szCs w:val="24"/>
        </w:rPr>
        <w:t>o reddito</w:t>
      </w:r>
      <w:r w:rsidR="006E40E2" w:rsidRPr="005B2D14">
        <w:rPr>
          <w:rFonts w:ascii="Tahoma" w:hAnsi="Tahoma" w:cs="Tahoma"/>
          <w:sz w:val="24"/>
          <w:szCs w:val="24"/>
        </w:rPr>
        <w:t>. Nei prossimi anni le reti saranno ottimizzate</w:t>
      </w:r>
      <w:r w:rsidR="00A20B6A" w:rsidRPr="005B2D14">
        <w:rPr>
          <w:rFonts w:ascii="Tahoma" w:hAnsi="Tahoma" w:cs="Tahoma"/>
          <w:sz w:val="24"/>
          <w:szCs w:val="24"/>
        </w:rPr>
        <w:t>, avvicinandoci agli standard europei</w:t>
      </w:r>
      <w:r w:rsidR="00432FF0" w:rsidRPr="005B2D14">
        <w:rPr>
          <w:rFonts w:ascii="Tahoma" w:hAnsi="Tahoma" w:cs="Tahoma"/>
          <w:sz w:val="24"/>
          <w:szCs w:val="24"/>
        </w:rPr>
        <w:t xml:space="preserve">”, </w:t>
      </w:r>
      <w:r w:rsidR="00E42AE4" w:rsidRPr="005B2D14">
        <w:rPr>
          <w:rFonts w:ascii="Tahoma" w:hAnsi="Tahoma" w:cs="Tahoma"/>
          <w:sz w:val="24"/>
          <w:szCs w:val="24"/>
        </w:rPr>
        <w:t xml:space="preserve">prevede </w:t>
      </w:r>
      <w:r w:rsidR="00446F20" w:rsidRPr="005B2D14">
        <w:rPr>
          <w:rFonts w:ascii="Tahoma" w:hAnsi="Tahoma" w:cs="Tahoma"/>
          <w:sz w:val="24"/>
          <w:szCs w:val="24"/>
        </w:rPr>
        <w:t xml:space="preserve">Luca Erzegovesi, professore ordinario di Economia degli intermediari finanziari all’Università di Trento, </w:t>
      </w:r>
      <w:r w:rsidR="00FD16FC" w:rsidRPr="005B2D14">
        <w:rPr>
          <w:rFonts w:ascii="Tahoma" w:hAnsi="Tahoma" w:cs="Tahoma"/>
          <w:sz w:val="24"/>
          <w:szCs w:val="24"/>
        </w:rPr>
        <w:t xml:space="preserve">uno </w:t>
      </w:r>
      <w:r w:rsidR="00DA677A" w:rsidRPr="005B2D14">
        <w:rPr>
          <w:rFonts w:ascii="Tahoma" w:hAnsi="Tahoma" w:cs="Tahoma"/>
          <w:sz w:val="24"/>
          <w:szCs w:val="24"/>
        </w:rPr>
        <w:t xml:space="preserve">dei curatori </w:t>
      </w:r>
      <w:r w:rsidR="00432FF0" w:rsidRPr="005B2D14">
        <w:rPr>
          <w:rFonts w:ascii="Tahoma" w:hAnsi="Tahoma" w:cs="Tahoma"/>
          <w:sz w:val="24"/>
          <w:szCs w:val="24"/>
        </w:rPr>
        <w:t>del Rapporto</w:t>
      </w:r>
      <w:r w:rsidR="006E40E2" w:rsidRPr="005B2D14">
        <w:rPr>
          <w:rFonts w:ascii="Tahoma" w:hAnsi="Tahoma" w:cs="Tahoma"/>
          <w:sz w:val="24"/>
          <w:szCs w:val="24"/>
        </w:rPr>
        <w:t>.</w:t>
      </w:r>
      <w:r w:rsidR="00A83365">
        <w:rPr>
          <w:rFonts w:ascii="Tahoma" w:hAnsi="Tahoma" w:cs="Tahoma"/>
          <w:sz w:val="24"/>
          <w:szCs w:val="24"/>
        </w:rPr>
        <w:t xml:space="preserve"> </w:t>
      </w:r>
      <w:r w:rsidR="00CF6C7A" w:rsidRPr="005B2D14">
        <w:rPr>
          <w:rFonts w:ascii="Tahoma" w:hAnsi="Tahoma" w:cs="Tahoma"/>
          <w:sz w:val="24"/>
          <w:szCs w:val="24"/>
        </w:rPr>
        <w:t xml:space="preserve">Tre quarti degli sportelli </w:t>
      </w:r>
      <w:r w:rsidR="00203FE2" w:rsidRPr="005B2D14">
        <w:rPr>
          <w:rFonts w:ascii="Tahoma" w:hAnsi="Tahoma" w:cs="Tahoma"/>
          <w:sz w:val="24"/>
          <w:szCs w:val="24"/>
        </w:rPr>
        <w:t xml:space="preserve">(18.393) </w:t>
      </w:r>
      <w:r w:rsidR="00CF6C7A" w:rsidRPr="005B2D14">
        <w:rPr>
          <w:rFonts w:ascii="Tahoma" w:hAnsi="Tahoma" w:cs="Tahoma"/>
          <w:sz w:val="24"/>
          <w:szCs w:val="24"/>
        </w:rPr>
        <w:t xml:space="preserve">appartengono a banche </w:t>
      </w:r>
      <w:r w:rsidR="00203FE2" w:rsidRPr="005B2D14">
        <w:rPr>
          <w:rFonts w:ascii="Tahoma" w:hAnsi="Tahoma" w:cs="Tahoma"/>
          <w:sz w:val="24"/>
          <w:szCs w:val="24"/>
        </w:rPr>
        <w:t xml:space="preserve">costituite come </w:t>
      </w:r>
      <w:r w:rsidR="00CF6C7A" w:rsidRPr="005B2D14">
        <w:rPr>
          <w:rFonts w:ascii="Tahoma" w:hAnsi="Tahoma" w:cs="Tahoma"/>
          <w:sz w:val="24"/>
          <w:szCs w:val="24"/>
        </w:rPr>
        <w:t>società per azioni.</w:t>
      </w:r>
      <w:r w:rsidR="00203FE2" w:rsidRPr="005B2D14">
        <w:rPr>
          <w:rFonts w:ascii="Tahoma" w:hAnsi="Tahoma" w:cs="Tahoma"/>
          <w:sz w:val="24"/>
          <w:szCs w:val="24"/>
        </w:rPr>
        <w:t xml:space="preserve"> Seguono le banche di credito cooperativo con circa il 17% (4.236) e le banche popolari con il 6% (1.548). Infine ci sono 135 filiali di banche estere.</w:t>
      </w:r>
    </w:p>
    <w:p w:rsidR="004D3C1C" w:rsidRPr="005B2D14" w:rsidRDefault="004D3C1C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69A4" w:rsidRPr="005B2D14" w:rsidRDefault="00A23E42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 xml:space="preserve">Un altro fenomeno </w:t>
      </w:r>
      <w:r w:rsidR="0065170F" w:rsidRPr="005B2D14">
        <w:rPr>
          <w:rFonts w:ascii="Tahoma" w:hAnsi="Tahoma" w:cs="Tahoma"/>
          <w:sz w:val="24"/>
          <w:szCs w:val="24"/>
        </w:rPr>
        <w:t xml:space="preserve">esaminato </w:t>
      </w:r>
      <w:r w:rsidRPr="005B2D14">
        <w:rPr>
          <w:rFonts w:ascii="Tahoma" w:hAnsi="Tahoma" w:cs="Tahoma"/>
          <w:sz w:val="24"/>
          <w:szCs w:val="24"/>
        </w:rPr>
        <w:t>d</w:t>
      </w:r>
      <w:r w:rsidR="00883B8B" w:rsidRPr="005B2D14">
        <w:rPr>
          <w:rFonts w:ascii="Tahoma" w:hAnsi="Tahoma" w:cs="Tahoma"/>
          <w:sz w:val="24"/>
          <w:szCs w:val="24"/>
        </w:rPr>
        <w:t>a</w:t>
      </w:r>
      <w:r w:rsidRPr="005B2D14">
        <w:rPr>
          <w:rFonts w:ascii="Tahoma" w:hAnsi="Tahoma" w:cs="Tahoma"/>
          <w:sz w:val="24"/>
          <w:szCs w:val="24"/>
        </w:rPr>
        <w:t>lla Fondazione per la Sussi</w:t>
      </w:r>
      <w:r w:rsidR="00BC52D1" w:rsidRPr="005B2D14">
        <w:rPr>
          <w:rFonts w:ascii="Tahoma" w:hAnsi="Tahoma" w:cs="Tahoma"/>
          <w:sz w:val="24"/>
          <w:szCs w:val="24"/>
        </w:rPr>
        <w:t>d</w:t>
      </w:r>
      <w:r w:rsidRPr="005B2D14">
        <w:rPr>
          <w:rFonts w:ascii="Tahoma" w:hAnsi="Tahoma" w:cs="Tahoma"/>
          <w:sz w:val="24"/>
          <w:szCs w:val="24"/>
        </w:rPr>
        <w:t>iarietà</w:t>
      </w:r>
      <w:r w:rsidR="000D5BC8" w:rsidRPr="005B2D14">
        <w:rPr>
          <w:rFonts w:ascii="Tahoma" w:hAnsi="Tahoma" w:cs="Tahoma"/>
          <w:sz w:val="24"/>
          <w:szCs w:val="24"/>
        </w:rPr>
        <w:t xml:space="preserve"> è </w:t>
      </w:r>
      <w:r w:rsidR="00BC52D1" w:rsidRPr="005B2D14">
        <w:rPr>
          <w:rFonts w:ascii="Tahoma" w:hAnsi="Tahoma" w:cs="Tahoma"/>
          <w:sz w:val="24"/>
          <w:szCs w:val="24"/>
        </w:rPr>
        <w:t>la diffusione dell’home banking. In dieci anni</w:t>
      </w:r>
      <w:r w:rsidR="00E269A4" w:rsidRPr="005B2D14">
        <w:rPr>
          <w:rFonts w:ascii="Tahoma" w:hAnsi="Tahoma" w:cs="Tahoma"/>
          <w:sz w:val="24"/>
          <w:szCs w:val="24"/>
        </w:rPr>
        <w:t>, dal 2010 al 2020</w:t>
      </w:r>
      <w:r w:rsidR="00463346" w:rsidRPr="005B2D14">
        <w:rPr>
          <w:rFonts w:ascii="Tahoma" w:hAnsi="Tahoma" w:cs="Tahoma"/>
          <w:sz w:val="24"/>
          <w:szCs w:val="24"/>
        </w:rPr>
        <w:t>,</w:t>
      </w:r>
      <w:r w:rsidR="00BC52D1" w:rsidRPr="005B2D14">
        <w:rPr>
          <w:rFonts w:ascii="Tahoma" w:hAnsi="Tahoma" w:cs="Tahoma"/>
          <w:sz w:val="24"/>
          <w:szCs w:val="24"/>
        </w:rPr>
        <w:t xml:space="preserve"> in Italia </w:t>
      </w:r>
      <w:r w:rsidR="00A032F1" w:rsidRPr="005B2D14">
        <w:rPr>
          <w:rFonts w:ascii="Tahoma" w:hAnsi="Tahoma" w:cs="Tahoma"/>
          <w:sz w:val="24"/>
          <w:szCs w:val="24"/>
        </w:rPr>
        <w:t xml:space="preserve">i </w:t>
      </w:r>
      <w:r w:rsidR="00E269A4" w:rsidRPr="005B2D14">
        <w:rPr>
          <w:rFonts w:ascii="Tahoma" w:hAnsi="Tahoma" w:cs="Tahoma"/>
          <w:sz w:val="24"/>
          <w:szCs w:val="24"/>
        </w:rPr>
        <w:t xml:space="preserve">clienti che utilizzano </w:t>
      </w:r>
      <w:r w:rsidR="00A032F1" w:rsidRPr="005B2D14">
        <w:rPr>
          <w:rFonts w:ascii="Tahoma" w:hAnsi="Tahoma" w:cs="Tahoma"/>
          <w:sz w:val="24"/>
          <w:szCs w:val="24"/>
        </w:rPr>
        <w:t>Internet per operare sul proprio conto sono raddoppiati</w:t>
      </w:r>
      <w:r w:rsidR="00E269A4" w:rsidRPr="005B2D14">
        <w:rPr>
          <w:rFonts w:ascii="Tahoma" w:hAnsi="Tahoma" w:cs="Tahoma"/>
          <w:sz w:val="24"/>
          <w:szCs w:val="24"/>
        </w:rPr>
        <w:t xml:space="preserve">, passando dal 18% al 35%. </w:t>
      </w:r>
      <w:r w:rsidR="00E56A5C" w:rsidRPr="005B2D14">
        <w:rPr>
          <w:rFonts w:ascii="Tahoma" w:hAnsi="Tahoma" w:cs="Tahoma"/>
          <w:sz w:val="24"/>
          <w:szCs w:val="24"/>
        </w:rPr>
        <w:t xml:space="preserve">La Penisola resta </w:t>
      </w:r>
      <w:r w:rsidR="00C75CC7" w:rsidRPr="005B2D14">
        <w:rPr>
          <w:rFonts w:ascii="Tahoma" w:hAnsi="Tahoma" w:cs="Tahoma"/>
          <w:sz w:val="24"/>
          <w:szCs w:val="24"/>
        </w:rPr>
        <w:t xml:space="preserve">però </w:t>
      </w:r>
      <w:r w:rsidR="00E56A5C" w:rsidRPr="005B2D14">
        <w:rPr>
          <w:rFonts w:ascii="Tahoma" w:hAnsi="Tahoma" w:cs="Tahoma"/>
          <w:sz w:val="24"/>
          <w:szCs w:val="24"/>
        </w:rPr>
        <w:t>ancora molto lontana</w:t>
      </w:r>
      <w:r w:rsidR="00E269A4" w:rsidRPr="005B2D14">
        <w:rPr>
          <w:rFonts w:ascii="Tahoma" w:hAnsi="Tahoma" w:cs="Tahoma"/>
          <w:sz w:val="24"/>
          <w:szCs w:val="24"/>
        </w:rPr>
        <w:t xml:space="preserve"> dalla media </w:t>
      </w:r>
      <w:r w:rsidR="00C75CC7" w:rsidRPr="005B2D14">
        <w:rPr>
          <w:rFonts w:ascii="Tahoma" w:hAnsi="Tahoma" w:cs="Tahoma"/>
          <w:sz w:val="24"/>
          <w:szCs w:val="24"/>
        </w:rPr>
        <w:t>continentale de</w:t>
      </w:r>
      <w:r w:rsidR="00E56A5C" w:rsidRPr="005B2D14">
        <w:rPr>
          <w:rFonts w:ascii="Tahoma" w:hAnsi="Tahoma" w:cs="Tahoma"/>
          <w:sz w:val="24"/>
          <w:szCs w:val="24"/>
        </w:rPr>
        <w:t xml:space="preserve">l </w:t>
      </w:r>
      <w:r w:rsidR="00E269A4" w:rsidRPr="005B2D14">
        <w:rPr>
          <w:rFonts w:ascii="Tahoma" w:hAnsi="Tahoma" w:cs="Tahoma"/>
          <w:sz w:val="24"/>
          <w:szCs w:val="24"/>
        </w:rPr>
        <w:t>58%</w:t>
      </w:r>
      <w:r w:rsidR="00E56A5C" w:rsidRPr="005B2D14">
        <w:rPr>
          <w:rFonts w:ascii="Tahoma" w:hAnsi="Tahoma" w:cs="Tahoma"/>
          <w:sz w:val="24"/>
          <w:szCs w:val="24"/>
        </w:rPr>
        <w:t>.</w:t>
      </w:r>
      <w:r w:rsidR="00DC718E" w:rsidRPr="005B2D14">
        <w:rPr>
          <w:rFonts w:ascii="Tahoma" w:hAnsi="Tahoma" w:cs="Tahoma"/>
          <w:sz w:val="24"/>
          <w:szCs w:val="24"/>
        </w:rPr>
        <w:t xml:space="preserve"> </w:t>
      </w:r>
      <w:r w:rsidR="00BF4552" w:rsidRPr="005B2D14">
        <w:rPr>
          <w:rFonts w:ascii="Tahoma" w:hAnsi="Tahoma" w:cs="Tahoma"/>
          <w:sz w:val="24"/>
          <w:szCs w:val="24"/>
        </w:rPr>
        <w:t xml:space="preserve">L’home banking </w:t>
      </w:r>
      <w:proofErr w:type="gramStart"/>
      <w:r w:rsidR="00BF4552" w:rsidRPr="005B2D14">
        <w:rPr>
          <w:rFonts w:ascii="Tahoma" w:hAnsi="Tahoma" w:cs="Tahoma"/>
          <w:sz w:val="24"/>
          <w:szCs w:val="24"/>
        </w:rPr>
        <w:t>è molto diffuso</w:t>
      </w:r>
      <w:proofErr w:type="gramEnd"/>
      <w:r w:rsidR="00BF4552" w:rsidRPr="005B2D14">
        <w:rPr>
          <w:rFonts w:ascii="Tahoma" w:hAnsi="Tahoma" w:cs="Tahoma"/>
          <w:sz w:val="24"/>
          <w:szCs w:val="24"/>
        </w:rPr>
        <w:t xml:space="preserve"> </w:t>
      </w:r>
      <w:r w:rsidR="00C2653B" w:rsidRPr="005B2D14">
        <w:rPr>
          <w:rFonts w:ascii="Tahoma" w:hAnsi="Tahoma" w:cs="Tahoma"/>
          <w:sz w:val="24"/>
          <w:szCs w:val="24"/>
        </w:rPr>
        <w:t xml:space="preserve">nelle </w:t>
      </w:r>
      <w:r w:rsidR="00DC718E" w:rsidRPr="005B2D14">
        <w:rPr>
          <w:rFonts w:ascii="Tahoma" w:hAnsi="Tahoma" w:cs="Tahoma"/>
          <w:sz w:val="24"/>
          <w:szCs w:val="24"/>
        </w:rPr>
        <w:t xml:space="preserve">maggiori </w:t>
      </w:r>
      <w:r w:rsidR="00C2653B" w:rsidRPr="005B2D14">
        <w:rPr>
          <w:rFonts w:ascii="Tahoma" w:hAnsi="Tahoma" w:cs="Tahoma"/>
          <w:sz w:val="24"/>
          <w:szCs w:val="24"/>
        </w:rPr>
        <w:t xml:space="preserve">economie </w:t>
      </w:r>
      <w:r w:rsidR="00DC718E" w:rsidRPr="005B2D14">
        <w:rPr>
          <w:rFonts w:ascii="Tahoma" w:hAnsi="Tahoma" w:cs="Tahoma"/>
          <w:sz w:val="24"/>
          <w:szCs w:val="24"/>
        </w:rPr>
        <w:t xml:space="preserve">come </w:t>
      </w:r>
      <w:r w:rsidR="00E269A4" w:rsidRPr="005B2D14">
        <w:rPr>
          <w:rFonts w:ascii="Tahoma" w:hAnsi="Tahoma" w:cs="Tahoma"/>
          <w:sz w:val="24"/>
          <w:szCs w:val="24"/>
        </w:rPr>
        <w:t>Spagna</w:t>
      </w:r>
      <w:r w:rsidR="00DC718E" w:rsidRPr="005B2D14">
        <w:rPr>
          <w:rFonts w:ascii="Tahoma" w:hAnsi="Tahoma" w:cs="Tahoma"/>
          <w:sz w:val="24"/>
          <w:szCs w:val="24"/>
        </w:rPr>
        <w:t xml:space="preserve"> (62%)</w:t>
      </w:r>
      <w:r w:rsidR="00BF4552" w:rsidRPr="005B2D14">
        <w:rPr>
          <w:rFonts w:ascii="Tahoma" w:hAnsi="Tahoma" w:cs="Tahoma"/>
          <w:sz w:val="24"/>
          <w:szCs w:val="24"/>
        </w:rPr>
        <w:t xml:space="preserve">, Germania (65%), </w:t>
      </w:r>
      <w:r w:rsidR="00D967EC" w:rsidRPr="005B2D14">
        <w:rPr>
          <w:rFonts w:ascii="Tahoma" w:hAnsi="Tahoma" w:cs="Tahoma"/>
          <w:sz w:val="24"/>
          <w:szCs w:val="24"/>
        </w:rPr>
        <w:t>Francia (66%)</w:t>
      </w:r>
      <w:r w:rsidR="00EB6BA2" w:rsidRPr="005B2D14">
        <w:rPr>
          <w:rFonts w:ascii="Tahoma" w:hAnsi="Tahoma" w:cs="Tahoma"/>
          <w:sz w:val="24"/>
          <w:szCs w:val="24"/>
        </w:rPr>
        <w:t xml:space="preserve"> e Gran Bretagna (77%).</w:t>
      </w:r>
    </w:p>
    <w:p w:rsidR="00E56A5C" w:rsidRPr="005B2D14" w:rsidRDefault="00E56A5C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91907" w:rsidRDefault="00AE1549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B2D14">
        <w:rPr>
          <w:rFonts w:ascii="Tahoma" w:hAnsi="Tahoma" w:cs="Tahoma"/>
          <w:sz w:val="24"/>
          <w:szCs w:val="24"/>
        </w:rPr>
        <w:t xml:space="preserve">Prosegue, intanto, il processo di concentrazione nel settore bancario. </w:t>
      </w:r>
      <w:r w:rsidR="0039083D" w:rsidRPr="005B2D14">
        <w:rPr>
          <w:rFonts w:ascii="Tahoma" w:hAnsi="Tahoma" w:cs="Tahoma"/>
          <w:sz w:val="24"/>
          <w:szCs w:val="24"/>
        </w:rPr>
        <w:t xml:space="preserve">A fine 2019 i </w:t>
      </w:r>
      <w:r w:rsidRPr="005B2D14">
        <w:rPr>
          <w:rFonts w:ascii="Tahoma" w:hAnsi="Tahoma" w:cs="Tahoma"/>
          <w:sz w:val="24"/>
          <w:szCs w:val="24"/>
        </w:rPr>
        <w:t xml:space="preserve">primi cinque istituti di </w:t>
      </w:r>
      <w:r w:rsidR="00910621" w:rsidRPr="005B2D14">
        <w:rPr>
          <w:rFonts w:ascii="Tahoma" w:hAnsi="Tahoma" w:cs="Tahoma"/>
          <w:sz w:val="24"/>
          <w:szCs w:val="24"/>
        </w:rPr>
        <w:t>credito in Italia</w:t>
      </w:r>
      <w:r w:rsidR="00183E7A" w:rsidRPr="005B2D14">
        <w:rPr>
          <w:rFonts w:ascii="Tahoma" w:hAnsi="Tahoma" w:cs="Tahoma"/>
          <w:sz w:val="24"/>
          <w:szCs w:val="24"/>
        </w:rPr>
        <w:t xml:space="preserve"> </w:t>
      </w:r>
      <w:r w:rsidR="008F4B34" w:rsidRPr="005B2D14">
        <w:rPr>
          <w:rFonts w:ascii="Tahoma" w:hAnsi="Tahoma" w:cs="Tahoma"/>
          <w:sz w:val="24"/>
          <w:szCs w:val="24"/>
        </w:rPr>
        <w:t>rappresenta</w:t>
      </w:r>
      <w:r w:rsidR="0039083D" w:rsidRPr="005B2D14">
        <w:rPr>
          <w:rFonts w:ascii="Tahoma" w:hAnsi="Tahoma" w:cs="Tahoma"/>
          <w:sz w:val="24"/>
          <w:szCs w:val="24"/>
        </w:rPr>
        <w:t>va</w:t>
      </w:r>
      <w:r w:rsidR="008F4B34" w:rsidRPr="005B2D14">
        <w:rPr>
          <w:rFonts w:ascii="Tahoma" w:hAnsi="Tahoma" w:cs="Tahoma"/>
          <w:sz w:val="24"/>
          <w:szCs w:val="24"/>
        </w:rPr>
        <w:t xml:space="preserve">no il </w:t>
      </w:r>
      <w:r w:rsidR="0039083D" w:rsidRPr="005B2D14">
        <w:rPr>
          <w:rFonts w:ascii="Tahoma" w:hAnsi="Tahoma" w:cs="Tahoma"/>
          <w:sz w:val="24"/>
          <w:szCs w:val="24"/>
        </w:rPr>
        <w:t xml:space="preserve">47% </w:t>
      </w:r>
      <w:r w:rsidR="008F4B34" w:rsidRPr="005B2D14">
        <w:rPr>
          <w:rFonts w:ascii="Tahoma" w:hAnsi="Tahoma" w:cs="Tahoma"/>
          <w:sz w:val="24"/>
          <w:szCs w:val="24"/>
        </w:rPr>
        <w:t>delle attività totali.</w:t>
      </w:r>
      <w:r w:rsidR="0039083D" w:rsidRPr="005B2D14">
        <w:rPr>
          <w:rFonts w:ascii="Tahoma" w:hAnsi="Tahoma" w:cs="Tahoma"/>
          <w:sz w:val="24"/>
          <w:szCs w:val="24"/>
        </w:rPr>
        <w:t xml:space="preserve"> </w:t>
      </w:r>
      <w:r w:rsidR="00892CFD" w:rsidRPr="005B2D14">
        <w:rPr>
          <w:rFonts w:ascii="Tahoma" w:hAnsi="Tahoma" w:cs="Tahoma"/>
          <w:sz w:val="24"/>
          <w:szCs w:val="24"/>
        </w:rPr>
        <w:t xml:space="preserve">Uno scenario </w:t>
      </w:r>
      <w:r w:rsidR="007241DC" w:rsidRPr="005B2D14">
        <w:rPr>
          <w:rFonts w:ascii="Tahoma" w:hAnsi="Tahoma" w:cs="Tahoma"/>
          <w:sz w:val="24"/>
          <w:szCs w:val="24"/>
        </w:rPr>
        <w:t>simile si riscontra in Francia (49%)</w:t>
      </w:r>
      <w:r w:rsidR="0065170F" w:rsidRPr="005B2D14">
        <w:rPr>
          <w:rFonts w:ascii="Tahoma" w:hAnsi="Tahoma" w:cs="Tahoma"/>
          <w:sz w:val="24"/>
          <w:szCs w:val="24"/>
        </w:rPr>
        <w:t>,</w:t>
      </w:r>
      <w:r w:rsidR="00892CFD" w:rsidRPr="005B2D14">
        <w:rPr>
          <w:rFonts w:ascii="Tahoma" w:hAnsi="Tahoma" w:cs="Tahoma"/>
          <w:sz w:val="24"/>
          <w:szCs w:val="24"/>
        </w:rPr>
        <w:t xml:space="preserve"> </w:t>
      </w:r>
      <w:r w:rsidR="007241DC" w:rsidRPr="005B2D14">
        <w:rPr>
          <w:rFonts w:ascii="Tahoma" w:hAnsi="Tahoma" w:cs="Tahoma"/>
          <w:sz w:val="24"/>
          <w:szCs w:val="24"/>
        </w:rPr>
        <w:t xml:space="preserve">mentre </w:t>
      </w:r>
      <w:r w:rsidR="00CC6E22" w:rsidRPr="005B2D14">
        <w:rPr>
          <w:rFonts w:ascii="Tahoma" w:hAnsi="Tahoma" w:cs="Tahoma"/>
          <w:sz w:val="24"/>
          <w:szCs w:val="24"/>
        </w:rPr>
        <w:t>è inferiore in Germania (31%). Più concentrato il mercato spagnolo (67%).</w:t>
      </w:r>
    </w:p>
    <w:p w:rsidR="00A83365" w:rsidRDefault="00A83365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83365" w:rsidRPr="005B2D14" w:rsidRDefault="00A83365" w:rsidP="00817E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 informazioni: Attilio De Pascalis ufficio stampa Fondazione per la Sussidiarietà tel. 3357630184</w:t>
      </w:r>
    </w:p>
    <w:p w:rsidR="005B2D14" w:rsidRPr="0030371D" w:rsidRDefault="005B2D14" w:rsidP="00817E2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0371D" w:rsidRPr="0030371D" w:rsidRDefault="0030371D" w:rsidP="00817E2A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0371D">
        <w:rPr>
          <w:rFonts w:ascii="Tahoma" w:hAnsi="Tahoma" w:cs="Tahoma"/>
          <w:b/>
          <w:sz w:val="28"/>
          <w:szCs w:val="28"/>
        </w:rPr>
        <w:t>La penetrazione degli sportelli in Europa</w:t>
      </w:r>
    </w:p>
    <w:p w:rsidR="00A37B7F" w:rsidRPr="0030371D" w:rsidRDefault="00A37B7F" w:rsidP="00A37B7F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W w:w="58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3155"/>
      </w:tblGrid>
      <w:tr w:rsidR="00A37B7F" w:rsidRPr="00A37B7F" w:rsidTr="003D49D3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3E2ED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Paes</w:t>
            </w:r>
            <w:r w:rsidR="00D0051D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i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 xml:space="preserve">Sportelli </w:t>
            </w: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 xml:space="preserve">ogni </w:t>
            </w: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100.000 abitanti adulti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Finlandia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4,4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Estonia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8,9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Olanda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9,3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Lituania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9,7</w:t>
            </w:r>
          </w:p>
        </w:tc>
        <w:bookmarkStart w:id="0" w:name="_GoBack"/>
        <w:bookmarkEnd w:id="0"/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Lettonia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10,1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Germania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11,0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Austria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11,9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Svezia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16,4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Grecia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19,3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Danimarca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20,0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Rep Ceca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20,6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Irlanda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21,1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Ungheria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23,4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Romania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23,7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Rep Slovacca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24,8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Malta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27,6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Slovenia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27,8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Croazia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28,3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Polonia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28,9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Belgio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32,4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Francia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34,3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Cipro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35,8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Portogallo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38,2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Italia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38,8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Spagna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49,7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Bulgaria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57,9</w:t>
            </w:r>
          </w:p>
        </w:tc>
      </w:tr>
      <w:tr w:rsidR="00A37B7F" w:rsidRPr="00A37B7F" w:rsidTr="003D49D3">
        <w:trPr>
          <w:trHeight w:val="20"/>
        </w:trPr>
        <w:tc>
          <w:tcPr>
            <w:tcW w:w="2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Lussemburgo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37B7F" w:rsidRPr="00A37B7F" w:rsidRDefault="00A37B7F" w:rsidP="00A37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64,5</w:t>
            </w:r>
          </w:p>
        </w:tc>
      </w:tr>
    </w:tbl>
    <w:p w:rsidR="00887B85" w:rsidRDefault="00887B85" w:rsidP="00A3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37B7F" w:rsidRDefault="00887B85" w:rsidP="00A3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Dati </w:t>
      </w:r>
      <w:proofErr w:type="gramStart"/>
      <w:r>
        <w:rPr>
          <w:rFonts w:ascii="Tahoma" w:hAnsi="Tahoma" w:cs="Tahoma"/>
          <w:sz w:val="24"/>
          <w:szCs w:val="24"/>
        </w:rPr>
        <w:t>1 gennaio</w:t>
      </w:r>
      <w:proofErr w:type="gramEnd"/>
      <w:r>
        <w:rPr>
          <w:rFonts w:ascii="Tahoma" w:hAnsi="Tahoma" w:cs="Tahoma"/>
          <w:sz w:val="24"/>
          <w:szCs w:val="24"/>
        </w:rPr>
        <w:t xml:space="preserve"> 2020</w:t>
      </w:r>
    </w:p>
    <w:p w:rsidR="007A54C5" w:rsidRDefault="007A54C5" w:rsidP="00A3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Fonte: elaborazione Fondazione per la Sussidiarietà su dati Banca Centrale Europea</w:t>
      </w:r>
    </w:p>
    <w:p w:rsidR="00887B85" w:rsidRDefault="00887B85" w:rsidP="00A3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87B85" w:rsidRPr="0030371D" w:rsidRDefault="00887B85" w:rsidP="00887B8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Le agenzie bancarie nella Penisola</w:t>
      </w:r>
    </w:p>
    <w:p w:rsidR="00887B85" w:rsidRPr="0030371D" w:rsidRDefault="00887B85" w:rsidP="00887B8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W w:w="58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2447"/>
      </w:tblGrid>
      <w:tr w:rsidR="00887B85" w:rsidRPr="00A37B7F" w:rsidTr="00F374F4">
        <w:trPr>
          <w:trHeight w:val="2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3E2ED"/>
            <w:vAlign w:val="center"/>
            <w:hideMark/>
          </w:tcPr>
          <w:p w:rsidR="00887B85" w:rsidRPr="00A37B7F" w:rsidRDefault="00D0051D" w:rsidP="002B228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Categoria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887B85" w:rsidRPr="00A37B7F" w:rsidRDefault="00D0051D" w:rsidP="00D0051D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Agenzie</w:t>
            </w:r>
          </w:p>
        </w:tc>
      </w:tr>
      <w:tr w:rsidR="00887B85" w:rsidRPr="00A37B7F" w:rsidTr="00F374F4">
        <w:trPr>
          <w:trHeight w:val="20"/>
        </w:trPr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887B85" w:rsidRPr="00A37B7F" w:rsidRDefault="00D0051D" w:rsidP="002B228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Banche società per azioni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87B85" w:rsidRPr="00A37B7F" w:rsidRDefault="00F374F4" w:rsidP="002B22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18.393</w:t>
            </w:r>
          </w:p>
        </w:tc>
      </w:tr>
      <w:tr w:rsidR="00887B85" w:rsidRPr="00A37B7F" w:rsidTr="00F374F4">
        <w:trPr>
          <w:trHeight w:val="20"/>
        </w:trPr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887B85" w:rsidRPr="00A37B7F" w:rsidRDefault="00D0051D" w:rsidP="002B228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Banche popolari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87B85" w:rsidRPr="00A37B7F" w:rsidRDefault="00F374F4" w:rsidP="002B22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1.548</w:t>
            </w:r>
          </w:p>
        </w:tc>
      </w:tr>
      <w:tr w:rsidR="00887B85" w:rsidRPr="00A37B7F" w:rsidTr="00F374F4">
        <w:trPr>
          <w:trHeight w:val="20"/>
        </w:trPr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887B85" w:rsidRPr="00A37B7F" w:rsidRDefault="00D0051D" w:rsidP="002B228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Banche di credito cooperativo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7B85" w:rsidRPr="00A37B7F" w:rsidRDefault="00F374F4" w:rsidP="002B22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4.236</w:t>
            </w:r>
          </w:p>
        </w:tc>
      </w:tr>
      <w:tr w:rsidR="00887B85" w:rsidRPr="00A37B7F" w:rsidTr="00F374F4">
        <w:trPr>
          <w:trHeight w:val="20"/>
        </w:trPr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887B85" w:rsidRPr="00A37B7F" w:rsidRDefault="00D0051D" w:rsidP="002B228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Banche estere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87B85" w:rsidRPr="00A37B7F" w:rsidRDefault="00F374F4" w:rsidP="002B22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135</w:t>
            </w:r>
          </w:p>
        </w:tc>
      </w:tr>
    </w:tbl>
    <w:p w:rsidR="00887B85" w:rsidRDefault="00887B85" w:rsidP="00A37B7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87B85" w:rsidRDefault="00887B85" w:rsidP="00887B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Dati </w:t>
      </w:r>
      <w:proofErr w:type="gramStart"/>
      <w:r>
        <w:rPr>
          <w:rFonts w:ascii="Tahoma" w:hAnsi="Tahoma" w:cs="Tahoma"/>
          <w:sz w:val="24"/>
          <w:szCs w:val="24"/>
        </w:rPr>
        <w:t>1 gennaio</w:t>
      </w:r>
      <w:proofErr w:type="gramEnd"/>
      <w:r>
        <w:rPr>
          <w:rFonts w:ascii="Tahoma" w:hAnsi="Tahoma" w:cs="Tahoma"/>
          <w:sz w:val="24"/>
          <w:szCs w:val="24"/>
        </w:rPr>
        <w:t xml:space="preserve"> 2020</w:t>
      </w:r>
    </w:p>
    <w:p w:rsidR="00887B85" w:rsidRDefault="00887B85" w:rsidP="00887B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Fonte: elaborazione Fondazione per la Sussidiarietà su dati Banca d’Italia</w:t>
      </w:r>
    </w:p>
    <w:p w:rsidR="00F81A86" w:rsidRDefault="00F81A86" w:rsidP="00F81A86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</w:p>
    <w:p w:rsidR="00F81A86" w:rsidRPr="0030371D" w:rsidRDefault="00F81A86" w:rsidP="00F81A86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Filiali bancarie: il Sud più europeo del Nord</w:t>
      </w:r>
    </w:p>
    <w:p w:rsidR="004A1C4D" w:rsidRPr="006566FF" w:rsidRDefault="004A1C4D" w:rsidP="00A37B7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:rsidR="00617123" w:rsidRPr="006566FF" w:rsidRDefault="00617123" w:rsidP="00A37B7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tbl>
      <w:tblPr>
        <w:tblW w:w="709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827"/>
      </w:tblGrid>
      <w:tr w:rsidR="00EE665A" w:rsidRPr="00EE665A" w:rsidTr="00312940">
        <w:trPr>
          <w:trHeight w:val="2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3E2ED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Regione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6566FF" w:rsidP="006566F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 xml:space="preserve">Sportelli </w:t>
            </w: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 xml:space="preserve">ogni </w:t>
            </w:r>
            <w:r w:rsidRPr="00A37B7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 xml:space="preserve">100.000 abitanti 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Calabria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Campania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22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Sicilia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Puglia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Sardegna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33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Molise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33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Lazio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35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Basilicata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36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Italia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40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Abruzzi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40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Liguria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44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Piemonte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45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Umbria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46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Lombardia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48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Toscana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49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Marche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53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Friuli Venezia Giulia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55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Emilia Romagna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56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Valle d'Aosta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63</w:t>
            </w:r>
          </w:p>
        </w:tc>
      </w:tr>
      <w:tr w:rsidR="00EE665A" w:rsidRPr="00EE665A" w:rsidTr="00312940">
        <w:trPr>
          <w:trHeight w:val="2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EF4"/>
            <w:vAlign w:val="center"/>
            <w:hideMark/>
          </w:tcPr>
          <w:p w:rsidR="00EE665A" w:rsidRPr="00EE665A" w:rsidRDefault="00EE665A" w:rsidP="00EE665A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Trentino-Alto Adige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E665A" w:rsidRPr="00EE665A" w:rsidRDefault="00EE665A" w:rsidP="004026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</w:pPr>
            <w:r w:rsidRPr="00EE665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70</w:t>
            </w:r>
          </w:p>
        </w:tc>
      </w:tr>
    </w:tbl>
    <w:p w:rsidR="004A1C4D" w:rsidRDefault="004A1C4D" w:rsidP="00EE665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81A86" w:rsidRDefault="00F81A86" w:rsidP="00F81A8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Dati </w:t>
      </w:r>
      <w:proofErr w:type="gramStart"/>
      <w:r>
        <w:rPr>
          <w:rFonts w:ascii="Tahoma" w:hAnsi="Tahoma" w:cs="Tahoma"/>
          <w:sz w:val="24"/>
          <w:szCs w:val="24"/>
        </w:rPr>
        <w:t>1 gennaio</w:t>
      </w:r>
      <w:proofErr w:type="gramEnd"/>
      <w:r>
        <w:rPr>
          <w:rFonts w:ascii="Tahoma" w:hAnsi="Tahoma" w:cs="Tahoma"/>
          <w:sz w:val="24"/>
          <w:szCs w:val="24"/>
        </w:rPr>
        <w:t xml:space="preserve"> 2020</w:t>
      </w:r>
    </w:p>
    <w:p w:rsidR="00F81A86" w:rsidRDefault="00F81A86" w:rsidP="00EE665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Fonte: elaborazione Fondazione per la Sussidiarietà su dati Banca d’Italia</w:t>
      </w:r>
    </w:p>
    <w:p w:rsidR="00FA4A55" w:rsidRPr="00182FB1" w:rsidRDefault="00FA4A55" w:rsidP="00EE665A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</w:p>
    <w:p w:rsidR="00FA4A55" w:rsidRPr="00182FB1" w:rsidRDefault="00182FB1" w:rsidP="00EE665A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182FB1">
        <w:rPr>
          <w:rFonts w:ascii="Tahoma" w:hAnsi="Tahoma" w:cs="Tahoma"/>
          <w:b/>
          <w:sz w:val="28"/>
          <w:szCs w:val="28"/>
        </w:rPr>
        <w:t>Boom dell’e</w:t>
      </w:r>
      <w:r>
        <w:rPr>
          <w:rFonts w:ascii="Tahoma" w:hAnsi="Tahoma" w:cs="Tahoma"/>
          <w:b/>
          <w:sz w:val="28"/>
          <w:szCs w:val="28"/>
        </w:rPr>
        <w:t>-</w:t>
      </w:r>
      <w:r w:rsidRPr="00182FB1">
        <w:rPr>
          <w:rFonts w:ascii="Tahoma" w:hAnsi="Tahoma" w:cs="Tahoma"/>
          <w:b/>
          <w:sz w:val="28"/>
          <w:szCs w:val="28"/>
        </w:rPr>
        <w:t>banking</w:t>
      </w:r>
    </w:p>
    <w:p w:rsidR="00FA4A55" w:rsidRDefault="00FA4A55" w:rsidP="00EE665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09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1"/>
        <w:gridCol w:w="2126"/>
        <w:gridCol w:w="2552"/>
      </w:tblGrid>
      <w:tr w:rsidR="00182FB1" w:rsidRPr="00303BC4" w:rsidTr="00182FB1">
        <w:trPr>
          <w:trHeight w:val="348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Area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2010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2020</w:t>
            </w:r>
          </w:p>
        </w:tc>
      </w:tr>
      <w:tr w:rsidR="00182FB1" w:rsidRPr="00303BC4" w:rsidTr="00182FB1">
        <w:trPr>
          <w:trHeight w:val="34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Unione Europea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36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58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182FB1" w:rsidRPr="00303BC4" w:rsidTr="00182FB1">
        <w:trPr>
          <w:trHeight w:val="34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German</w:t>
            </w:r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43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65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182FB1" w:rsidRPr="00303BC4" w:rsidTr="00182FB1">
        <w:trPr>
          <w:trHeight w:val="34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Spagbna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26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62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182FB1" w:rsidRPr="00303BC4" w:rsidTr="00182FB1">
        <w:trPr>
          <w:trHeight w:val="34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Francia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50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66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182FB1" w:rsidRPr="00303BC4" w:rsidTr="00182FB1">
        <w:trPr>
          <w:trHeight w:val="34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Ital</w:t>
            </w:r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18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35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182FB1" w:rsidRPr="00303BC4" w:rsidTr="00182FB1">
        <w:trPr>
          <w:trHeight w:val="34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Polonia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25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49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182FB1" w:rsidRPr="00303BC4" w:rsidTr="00182FB1">
        <w:trPr>
          <w:trHeight w:val="34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Portogallo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19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47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182FB1" w:rsidRPr="00FA4A55" w:rsidTr="00182FB1">
        <w:trPr>
          <w:trHeight w:val="34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Regno Unito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45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FB1" w:rsidRPr="00FA4A55" w:rsidRDefault="00182FB1" w:rsidP="00182FB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</w:pPr>
            <w:r w:rsidRPr="00FA4A55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80</w:t>
            </w:r>
            <w:r w:rsidR="00B77391" w:rsidRPr="00303BC4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</w:tbl>
    <w:p w:rsidR="00FA4A55" w:rsidRDefault="00FA4A55" w:rsidP="00EE665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77391" w:rsidRDefault="00B77391" w:rsidP="00EE665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% di clienti che usa</w:t>
      </w:r>
      <w:r w:rsidR="00EA6302">
        <w:rPr>
          <w:rFonts w:ascii="Tahoma" w:hAnsi="Tahoma" w:cs="Tahoma"/>
          <w:sz w:val="24"/>
          <w:szCs w:val="24"/>
        </w:rPr>
        <w:t>no</w:t>
      </w:r>
      <w:r>
        <w:rPr>
          <w:rFonts w:ascii="Tahoma" w:hAnsi="Tahoma" w:cs="Tahoma"/>
          <w:sz w:val="24"/>
          <w:szCs w:val="24"/>
        </w:rPr>
        <w:t xml:space="preserve"> home banking</w:t>
      </w:r>
    </w:p>
    <w:p w:rsidR="00182FB1" w:rsidRDefault="00182FB1" w:rsidP="00182FB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Fonte: elaborazione Fondazione per la Sussidiarietà su dati Eurostat</w:t>
      </w:r>
    </w:p>
    <w:sectPr w:rsidR="00182FB1" w:rsidSect="00462F0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66E" w:rsidRDefault="007B366E" w:rsidP="004D397C">
      <w:pPr>
        <w:spacing w:after="0" w:line="240" w:lineRule="auto"/>
      </w:pPr>
      <w:r>
        <w:separator/>
      </w:r>
    </w:p>
  </w:endnote>
  <w:endnote w:type="continuationSeparator" w:id="0">
    <w:p w:rsidR="007B366E" w:rsidRDefault="007B366E" w:rsidP="004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54" w:rsidRDefault="001E595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1E5954">
      <w:rPr>
        <w:rFonts w:asciiTheme="majorHAnsi" w:hAnsiTheme="majorHAnsi"/>
        <w:b/>
      </w:rPr>
      <w:t xml:space="preserve">Fondazione per la Sussidiarietà - Via </w:t>
    </w:r>
    <w:proofErr w:type="spellStart"/>
    <w:r w:rsidRPr="001E5954">
      <w:rPr>
        <w:rFonts w:asciiTheme="majorHAnsi" w:hAnsiTheme="majorHAnsi"/>
        <w:b/>
      </w:rPr>
      <w:t>Legnone</w:t>
    </w:r>
    <w:proofErr w:type="spellEnd"/>
    <w:r w:rsidRPr="001E5954">
      <w:rPr>
        <w:rFonts w:asciiTheme="majorHAnsi" w:hAnsiTheme="majorHAnsi"/>
        <w:b/>
      </w:rPr>
      <w:t xml:space="preserve"> </w:t>
    </w:r>
    <w:r w:rsidR="007A31C2">
      <w:rPr>
        <w:rFonts w:asciiTheme="majorHAnsi" w:hAnsiTheme="majorHAnsi"/>
        <w:b/>
      </w:rPr>
      <w:t xml:space="preserve">4 - 20158 </w:t>
    </w:r>
    <w:r w:rsidRPr="001E5954">
      <w:rPr>
        <w:rFonts w:asciiTheme="majorHAnsi" w:hAnsiTheme="majorHAnsi"/>
        <w:b/>
      </w:rPr>
      <w:t>Milano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796835">
      <w:fldChar w:fldCharType="begin"/>
    </w:r>
    <w:r w:rsidR="00796835">
      <w:instrText xml:space="preserve"> PAGE   \* MERGEFORMAT </w:instrText>
    </w:r>
    <w:r w:rsidR="00796835">
      <w:fldChar w:fldCharType="separate"/>
    </w:r>
    <w:r w:rsidR="00A83365" w:rsidRPr="00A83365">
      <w:rPr>
        <w:rFonts w:asciiTheme="majorHAnsi" w:hAnsiTheme="majorHAnsi"/>
        <w:noProof/>
      </w:rPr>
      <w:t>1</w:t>
    </w:r>
    <w:r w:rsidR="00796835">
      <w:rPr>
        <w:rFonts w:asciiTheme="majorHAnsi" w:hAnsiTheme="majorHAnsi"/>
        <w:noProof/>
      </w:rPr>
      <w:fldChar w:fldCharType="end"/>
    </w:r>
  </w:p>
  <w:p w:rsidR="001E5954" w:rsidRDefault="001E59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66E" w:rsidRDefault="007B366E" w:rsidP="004D397C">
      <w:pPr>
        <w:spacing w:after="0" w:line="240" w:lineRule="auto"/>
      </w:pPr>
      <w:r>
        <w:separator/>
      </w:r>
    </w:p>
  </w:footnote>
  <w:footnote w:type="continuationSeparator" w:id="0">
    <w:p w:rsidR="007B366E" w:rsidRDefault="007B366E" w:rsidP="004D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7C" w:rsidRDefault="004D397C">
    <w:pPr>
      <w:pStyle w:val="Intestazione"/>
    </w:pPr>
    <w:r w:rsidRPr="00C8106D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-271780</wp:posOffset>
          </wp:positionV>
          <wp:extent cx="863600" cy="66040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397C" w:rsidRDefault="004D39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7C"/>
    <w:rsid w:val="0000248A"/>
    <w:rsid w:val="00033C05"/>
    <w:rsid w:val="00034EA9"/>
    <w:rsid w:val="00042951"/>
    <w:rsid w:val="00066F7F"/>
    <w:rsid w:val="00071C9D"/>
    <w:rsid w:val="00097077"/>
    <w:rsid w:val="000C1AB3"/>
    <w:rsid w:val="000C6528"/>
    <w:rsid w:val="000D296F"/>
    <w:rsid w:val="000D4712"/>
    <w:rsid w:val="000D5BC8"/>
    <w:rsid w:val="00105A98"/>
    <w:rsid w:val="00124E52"/>
    <w:rsid w:val="001715A7"/>
    <w:rsid w:val="00177B80"/>
    <w:rsid w:val="00182FB1"/>
    <w:rsid w:val="00183E7A"/>
    <w:rsid w:val="00187A98"/>
    <w:rsid w:val="001B2175"/>
    <w:rsid w:val="001C22AD"/>
    <w:rsid w:val="001E5954"/>
    <w:rsid w:val="001F6DA7"/>
    <w:rsid w:val="001F773E"/>
    <w:rsid w:val="00203FE2"/>
    <w:rsid w:val="00207487"/>
    <w:rsid w:val="00214840"/>
    <w:rsid w:val="00223320"/>
    <w:rsid w:val="00223403"/>
    <w:rsid w:val="00234895"/>
    <w:rsid w:val="00241052"/>
    <w:rsid w:val="00255304"/>
    <w:rsid w:val="00256792"/>
    <w:rsid w:val="00260062"/>
    <w:rsid w:val="002A02BD"/>
    <w:rsid w:val="002C6BD2"/>
    <w:rsid w:val="002E1F76"/>
    <w:rsid w:val="0030371D"/>
    <w:rsid w:val="00303BC4"/>
    <w:rsid w:val="003120B2"/>
    <w:rsid w:val="00312940"/>
    <w:rsid w:val="00346095"/>
    <w:rsid w:val="0039083D"/>
    <w:rsid w:val="003C70BE"/>
    <w:rsid w:val="003D49D3"/>
    <w:rsid w:val="003E1455"/>
    <w:rsid w:val="00402668"/>
    <w:rsid w:val="00411CD8"/>
    <w:rsid w:val="00427F0C"/>
    <w:rsid w:val="004326C4"/>
    <w:rsid w:val="00432FF0"/>
    <w:rsid w:val="00442649"/>
    <w:rsid w:val="00446F20"/>
    <w:rsid w:val="00462F02"/>
    <w:rsid w:val="00463346"/>
    <w:rsid w:val="00494286"/>
    <w:rsid w:val="00496FF8"/>
    <w:rsid w:val="004A1C4D"/>
    <w:rsid w:val="004D397C"/>
    <w:rsid w:val="004D3C1C"/>
    <w:rsid w:val="004E08DC"/>
    <w:rsid w:val="00513488"/>
    <w:rsid w:val="00533635"/>
    <w:rsid w:val="0055043E"/>
    <w:rsid w:val="00552590"/>
    <w:rsid w:val="00561ACE"/>
    <w:rsid w:val="0056633F"/>
    <w:rsid w:val="00566DE2"/>
    <w:rsid w:val="00573C56"/>
    <w:rsid w:val="00591907"/>
    <w:rsid w:val="005A2791"/>
    <w:rsid w:val="005B2D14"/>
    <w:rsid w:val="005D670F"/>
    <w:rsid w:val="00617123"/>
    <w:rsid w:val="006333DE"/>
    <w:rsid w:val="00647877"/>
    <w:rsid w:val="0065170F"/>
    <w:rsid w:val="006566FF"/>
    <w:rsid w:val="00673E45"/>
    <w:rsid w:val="0069001B"/>
    <w:rsid w:val="0069154F"/>
    <w:rsid w:val="00691BD6"/>
    <w:rsid w:val="006B0F07"/>
    <w:rsid w:val="006C2260"/>
    <w:rsid w:val="006D5908"/>
    <w:rsid w:val="006E40E2"/>
    <w:rsid w:val="007241DC"/>
    <w:rsid w:val="00774595"/>
    <w:rsid w:val="00796835"/>
    <w:rsid w:val="007A31C2"/>
    <w:rsid w:val="007A54C5"/>
    <w:rsid w:val="007B2EE2"/>
    <w:rsid w:val="007B366E"/>
    <w:rsid w:val="007C79C3"/>
    <w:rsid w:val="007D75E3"/>
    <w:rsid w:val="007F3A4E"/>
    <w:rsid w:val="007F5C5B"/>
    <w:rsid w:val="00804712"/>
    <w:rsid w:val="00813C51"/>
    <w:rsid w:val="00817E2A"/>
    <w:rsid w:val="00836DA8"/>
    <w:rsid w:val="00842BFE"/>
    <w:rsid w:val="008433F3"/>
    <w:rsid w:val="00847444"/>
    <w:rsid w:val="008811E8"/>
    <w:rsid w:val="00883B8B"/>
    <w:rsid w:val="00887B85"/>
    <w:rsid w:val="00892CFD"/>
    <w:rsid w:val="008D0C16"/>
    <w:rsid w:val="008E645D"/>
    <w:rsid w:val="008F1C1A"/>
    <w:rsid w:val="008F4B34"/>
    <w:rsid w:val="00910621"/>
    <w:rsid w:val="00932586"/>
    <w:rsid w:val="00946A6A"/>
    <w:rsid w:val="00950838"/>
    <w:rsid w:val="00956644"/>
    <w:rsid w:val="00957BE9"/>
    <w:rsid w:val="00960C16"/>
    <w:rsid w:val="00976EAD"/>
    <w:rsid w:val="00984FB9"/>
    <w:rsid w:val="009A2BDC"/>
    <w:rsid w:val="009C6DDF"/>
    <w:rsid w:val="009C6E80"/>
    <w:rsid w:val="00A032F1"/>
    <w:rsid w:val="00A049BD"/>
    <w:rsid w:val="00A05418"/>
    <w:rsid w:val="00A20B6A"/>
    <w:rsid w:val="00A23E42"/>
    <w:rsid w:val="00A24678"/>
    <w:rsid w:val="00A37B7F"/>
    <w:rsid w:val="00A4407F"/>
    <w:rsid w:val="00A57F2D"/>
    <w:rsid w:val="00A83365"/>
    <w:rsid w:val="00A9488D"/>
    <w:rsid w:val="00A94D1E"/>
    <w:rsid w:val="00AA105D"/>
    <w:rsid w:val="00AA2732"/>
    <w:rsid w:val="00AB03DA"/>
    <w:rsid w:val="00AC498E"/>
    <w:rsid w:val="00AE1549"/>
    <w:rsid w:val="00AF0652"/>
    <w:rsid w:val="00AF4455"/>
    <w:rsid w:val="00B22CFD"/>
    <w:rsid w:val="00B541BE"/>
    <w:rsid w:val="00B561EF"/>
    <w:rsid w:val="00B62157"/>
    <w:rsid w:val="00B77391"/>
    <w:rsid w:val="00B810B6"/>
    <w:rsid w:val="00BC3C6A"/>
    <w:rsid w:val="00BC52D1"/>
    <w:rsid w:val="00BD7D3D"/>
    <w:rsid w:val="00BF33E0"/>
    <w:rsid w:val="00BF4552"/>
    <w:rsid w:val="00C2653B"/>
    <w:rsid w:val="00C428E7"/>
    <w:rsid w:val="00C50EF2"/>
    <w:rsid w:val="00C53059"/>
    <w:rsid w:val="00C75CC7"/>
    <w:rsid w:val="00C913D7"/>
    <w:rsid w:val="00C9167C"/>
    <w:rsid w:val="00CB6F07"/>
    <w:rsid w:val="00CC6E22"/>
    <w:rsid w:val="00CF6C7A"/>
    <w:rsid w:val="00D0051D"/>
    <w:rsid w:val="00D21DB4"/>
    <w:rsid w:val="00D22ED9"/>
    <w:rsid w:val="00D269BA"/>
    <w:rsid w:val="00D34729"/>
    <w:rsid w:val="00D544B6"/>
    <w:rsid w:val="00D61AFE"/>
    <w:rsid w:val="00D74BE1"/>
    <w:rsid w:val="00D77F00"/>
    <w:rsid w:val="00D816C8"/>
    <w:rsid w:val="00D81888"/>
    <w:rsid w:val="00D967EC"/>
    <w:rsid w:val="00DA310E"/>
    <w:rsid w:val="00DA55A3"/>
    <w:rsid w:val="00DA677A"/>
    <w:rsid w:val="00DC718E"/>
    <w:rsid w:val="00DD1D85"/>
    <w:rsid w:val="00DD3CC9"/>
    <w:rsid w:val="00DD43BE"/>
    <w:rsid w:val="00DE0105"/>
    <w:rsid w:val="00DE461B"/>
    <w:rsid w:val="00DE5AC6"/>
    <w:rsid w:val="00DF7394"/>
    <w:rsid w:val="00E269A4"/>
    <w:rsid w:val="00E42AE4"/>
    <w:rsid w:val="00E56A5C"/>
    <w:rsid w:val="00E933B0"/>
    <w:rsid w:val="00E95C85"/>
    <w:rsid w:val="00E9723B"/>
    <w:rsid w:val="00EA6302"/>
    <w:rsid w:val="00EB1AD0"/>
    <w:rsid w:val="00EB5ACA"/>
    <w:rsid w:val="00EB6BA2"/>
    <w:rsid w:val="00EE43E8"/>
    <w:rsid w:val="00EE665A"/>
    <w:rsid w:val="00EF1CD1"/>
    <w:rsid w:val="00F03DDD"/>
    <w:rsid w:val="00F06BE8"/>
    <w:rsid w:val="00F17036"/>
    <w:rsid w:val="00F374F4"/>
    <w:rsid w:val="00F46EF8"/>
    <w:rsid w:val="00F74CED"/>
    <w:rsid w:val="00F81A86"/>
    <w:rsid w:val="00F86C34"/>
    <w:rsid w:val="00FA0F8B"/>
    <w:rsid w:val="00FA4A55"/>
    <w:rsid w:val="00FC52FD"/>
    <w:rsid w:val="00F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425D2-906A-48CC-8677-B66FE2D9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2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97C"/>
  </w:style>
  <w:style w:type="paragraph" w:styleId="Pidipagina">
    <w:name w:val="footer"/>
    <w:basedOn w:val="Normale"/>
    <w:link w:val="Pidipagina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954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uiPriority w:val="99"/>
    <w:rsid w:val="00446F20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Theme="minorEastAsia" w:hAnsi="Times New Roman" w:cs="Times New Roman"/>
      <w:color w:val="000000"/>
      <w:spacing w:val="-2"/>
      <w:sz w:val="21"/>
      <w:szCs w:val="21"/>
      <w:lang w:eastAsia="it-IT"/>
    </w:rPr>
  </w:style>
  <w:style w:type="character" w:customStyle="1" w:styleId="italic">
    <w:name w:val="italic"/>
    <w:uiPriority w:val="99"/>
    <w:rsid w:val="00446F20"/>
    <w:rPr>
      <w:i/>
    </w:rPr>
  </w:style>
  <w:style w:type="character" w:customStyle="1" w:styleId="bold">
    <w:name w:val="bold"/>
    <w:uiPriority w:val="99"/>
    <w:rsid w:val="00446F2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BA240-AC59-46D0-8817-075281A9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per la sussidiarietà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Raffaella Pipitone</cp:lastModifiedBy>
  <cp:revision>5</cp:revision>
  <dcterms:created xsi:type="dcterms:W3CDTF">2021-04-05T15:38:00Z</dcterms:created>
  <dcterms:modified xsi:type="dcterms:W3CDTF">2021-04-06T08:03:00Z</dcterms:modified>
</cp:coreProperties>
</file>