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299" w:rsidRPr="00A77FC6" w:rsidRDefault="00203299" w:rsidP="00203299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A77FC6">
        <w:rPr>
          <w:rFonts w:ascii="Tahoma" w:hAnsi="Tahoma" w:cs="Tahoma"/>
          <w:b/>
          <w:sz w:val="28"/>
          <w:szCs w:val="28"/>
        </w:rPr>
        <w:t>Il terzo settore cresce nonostante la pandemia</w:t>
      </w:r>
      <w:r>
        <w:rPr>
          <w:rFonts w:ascii="Tahoma" w:hAnsi="Tahoma" w:cs="Tahoma"/>
          <w:b/>
          <w:sz w:val="28"/>
          <w:szCs w:val="28"/>
        </w:rPr>
        <w:t xml:space="preserve">: gli </w:t>
      </w:r>
      <w:r w:rsidRPr="00A77FC6">
        <w:rPr>
          <w:rFonts w:ascii="Tahoma" w:hAnsi="Tahoma" w:cs="Tahoma"/>
          <w:b/>
          <w:sz w:val="28"/>
          <w:szCs w:val="28"/>
        </w:rPr>
        <w:t xml:space="preserve">italiani </w:t>
      </w:r>
      <w:r>
        <w:rPr>
          <w:rFonts w:ascii="Tahoma" w:hAnsi="Tahoma" w:cs="Tahoma"/>
          <w:b/>
          <w:sz w:val="28"/>
          <w:szCs w:val="28"/>
        </w:rPr>
        <w:t xml:space="preserve">attivi superano i </w:t>
      </w:r>
      <w:proofErr w:type="gramStart"/>
      <w:r w:rsidRPr="00A77FC6">
        <w:rPr>
          <w:rFonts w:ascii="Tahoma" w:hAnsi="Tahoma" w:cs="Tahoma"/>
          <w:b/>
          <w:sz w:val="28"/>
          <w:szCs w:val="28"/>
        </w:rPr>
        <w:t>10</w:t>
      </w:r>
      <w:proofErr w:type="gramEnd"/>
      <w:r w:rsidRPr="00A77FC6">
        <w:rPr>
          <w:rFonts w:ascii="Tahoma" w:hAnsi="Tahoma" w:cs="Tahoma"/>
          <w:b/>
          <w:sz w:val="28"/>
          <w:szCs w:val="28"/>
        </w:rPr>
        <w:t xml:space="preserve"> milioni</w:t>
      </w:r>
      <w:r>
        <w:rPr>
          <w:rFonts w:ascii="Tahoma" w:hAnsi="Tahoma" w:cs="Tahoma"/>
          <w:b/>
          <w:sz w:val="28"/>
          <w:szCs w:val="28"/>
        </w:rPr>
        <w:t xml:space="preserve">, di cui </w:t>
      </w:r>
      <w:r w:rsidRPr="00A77FC6">
        <w:rPr>
          <w:rFonts w:ascii="Tahoma" w:hAnsi="Tahoma" w:cs="Tahoma"/>
          <w:b/>
          <w:sz w:val="28"/>
          <w:szCs w:val="28"/>
        </w:rPr>
        <w:t xml:space="preserve">438.000 </w:t>
      </w:r>
      <w:r>
        <w:rPr>
          <w:rFonts w:ascii="Tahoma" w:hAnsi="Tahoma" w:cs="Tahoma"/>
          <w:b/>
          <w:sz w:val="28"/>
          <w:szCs w:val="28"/>
        </w:rPr>
        <w:t xml:space="preserve"> nelle Marche</w:t>
      </w:r>
    </w:p>
    <w:p w:rsidR="00203299" w:rsidRPr="009D1AF8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77FC6">
        <w:rPr>
          <w:rFonts w:ascii="Tahoma" w:hAnsi="Tahoma" w:cs="Tahoma"/>
          <w:sz w:val="24"/>
          <w:szCs w:val="24"/>
        </w:rPr>
        <w:t>Il ruolo del non profit cresce in Italia e nelle Marche, regione fra le più "generose", anche durante la pandemia.</w:t>
      </w:r>
      <w:r>
        <w:rPr>
          <w:rFonts w:ascii="Tahoma" w:hAnsi="Tahoma" w:cs="Tahoma"/>
          <w:sz w:val="24"/>
          <w:szCs w:val="24"/>
        </w:rPr>
        <w:t xml:space="preserve"> </w:t>
      </w:r>
      <w:r w:rsidRPr="00A77FC6">
        <w:rPr>
          <w:rFonts w:ascii="Tahoma" w:hAnsi="Tahoma" w:cs="Tahoma"/>
          <w:sz w:val="24"/>
          <w:szCs w:val="24"/>
        </w:rPr>
        <w:t>Gli italiani che partecipano ad attività associative sono 10,5 milioni, di cui circa 438.000 nelle Marche e 27.500 a Pesaro.</w:t>
      </w:r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77FC6">
        <w:rPr>
          <w:rFonts w:ascii="Tahoma" w:hAnsi="Tahoma" w:cs="Tahoma"/>
          <w:sz w:val="24"/>
          <w:szCs w:val="24"/>
        </w:rPr>
        <w:t xml:space="preserve">Le Marche si confermano una regione molto "generosa", con oltre 10.000 associazioni no </w:t>
      </w:r>
      <w:proofErr w:type="spellStart"/>
      <w:r w:rsidRPr="00A77FC6">
        <w:rPr>
          <w:rFonts w:ascii="Tahoma" w:hAnsi="Tahoma" w:cs="Tahoma"/>
          <w:sz w:val="24"/>
          <w:szCs w:val="24"/>
        </w:rPr>
        <w:t>profi</w:t>
      </w:r>
      <w:proofErr w:type="spellEnd"/>
      <w:r w:rsidRPr="00A77FC6">
        <w:rPr>
          <w:rFonts w:ascii="Tahoma" w:hAnsi="Tahoma" w:cs="Tahoma"/>
          <w:sz w:val="24"/>
          <w:szCs w:val="24"/>
        </w:rPr>
        <w:t xml:space="preserve"> e si collocano sopra la media nazionale come numero di persone che sostengono con contributi l'attività delle organizzazioni no profit: sono circa 199.000, pari al 15% degli abitanti di età superiore a </w:t>
      </w:r>
      <w:proofErr w:type="gramStart"/>
      <w:r w:rsidRPr="00A77FC6">
        <w:rPr>
          <w:rFonts w:ascii="Tahoma" w:hAnsi="Tahoma" w:cs="Tahoma"/>
          <w:sz w:val="24"/>
          <w:szCs w:val="24"/>
        </w:rPr>
        <w:t>14</w:t>
      </w:r>
      <w:proofErr w:type="gramEnd"/>
      <w:r w:rsidRPr="00A77FC6">
        <w:rPr>
          <w:rFonts w:ascii="Tahoma" w:hAnsi="Tahoma" w:cs="Tahoma"/>
          <w:sz w:val="24"/>
          <w:szCs w:val="24"/>
        </w:rPr>
        <w:t xml:space="preserve"> anni, rispetto alla media nazionale del 13%. </w:t>
      </w:r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03299" w:rsidRPr="00E90259" w:rsidRDefault="00203299" w:rsidP="00203299">
      <w:pPr>
        <w:spacing w:after="0" w:line="240" w:lineRule="auto"/>
        <w:jc w:val="both"/>
        <w:rPr>
          <w:rFonts w:ascii="Tahoma" w:eastAsia="Times New Roman" w:hAnsi="Tahoma" w:cs="Tahoma"/>
          <w:color w:val="1D2228"/>
          <w:sz w:val="24"/>
          <w:szCs w:val="24"/>
          <w:lang w:eastAsia="it-IT"/>
        </w:rPr>
      </w:pPr>
      <w:r w:rsidRPr="00A77FC6">
        <w:rPr>
          <w:rFonts w:ascii="Tahoma" w:hAnsi="Tahoma" w:cs="Tahoma"/>
          <w:sz w:val="24"/>
          <w:szCs w:val="24"/>
        </w:rPr>
        <w:t xml:space="preserve">È quanto emerge da una ricerca della Fondazione per la Sussidiarietà, diffusa oggi a Pesaro in occasione della presentazione del volume “Una società di persone?” sul ruolo dei corpi intermedi, in programma oggi a Pesaro 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alle </w:t>
      </w:r>
      <w:proofErr w:type="gramStart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18</w:t>
      </w:r>
      <w:proofErr w:type="gramEnd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 al cinema teatro Astra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.</w:t>
      </w:r>
    </w:p>
    <w:p w:rsidR="00203299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03299" w:rsidRDefault="00203299" w:rsidP="00203299">
      <w:pPr>
        <w:spacing w:after="0" w:line="240" w:lineRule="auto"/>
        <w:jc w:val="both"/>
        <w:rPr>
          <w:rFonts w:ascii="Tahoma" w:eastAsia="Times New Roman" w:hAnsi="Tahoma" w:cs="Tahoma"/>
          <w:color w:val="1D2228"/>
          <w:sz w:val="24"/>
          <w:szCs w:val="24"/>
          <w:lang w:eastAsia="it-IT"/>
        </w:rPr>
      </w:pP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Intervengono: </w:t>
      </w:r>
      <w:r w:rsidRPr="000F0EBA">
        <w:rPr>
          <w:rFonts w:ascii="Tahoma" w:hAnsi="Tahoma" w:cs="Tahoma"/>
          <w:sz w:val="24"/>
          <w:szCs w:val="24"/>
        </w:rPr>
        <w:t>Marco Montagna, imprenditore</w:t>
      </w:r>
      <w:r>
        <w:rPr>
          <w:rFonts w:ascii="Tahoma" w:hAnsi="Tahoma" w:cs="Tahoma"/>
          <w:sz w:val="24"/>
          <w:szCs w:val="24"/>
        </w:rPr>
        <w:t xml:space="preserve">, 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Giorgio </w:t>
      </w:r>
      <w:proofErr w:type="spellStart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Vittadini</w:t>
      </w:r>
      <w:proofErr w:type="spellEnd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, Presidente Fondazione per la Sussidiarietà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, 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Franco </w:t>
      </w:r>
      <w:proofErr w:type="spellStart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Bassanini</w:t>
      </w:r>
      <w:proofErr w:type="spellEnd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, Presidente Fondazione </w:t>
      </w:r>
      <w:proofErr w:type="spellStart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Astrid</w:t>
      </w:r>
      <w:proofErr w:type="spellEnd"/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,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 Lorenza Violini, Professore di Diritto costituzionale,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 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Università degli Studi di Milano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, 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Andrea </w:t>
      </w:r>
      <w:proofErr w:type="spellStart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Boccanera</w:t>
      </w:r>
      <w:proofErr w:type="spellEnd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, Presidente Onlus Gulliver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, 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Cinzia Fenici, Presidente 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dell'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Ordine 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degli 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Avvocati </w:t>
      </w:r>
      <w:proofErr w:type="gramStart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di</w:t>
      </w:r>
      <w:proofErr w:type="gramEnd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 Pesaro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, 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Andrea Mancini, Direttore Caritas Diocesana di Pesaro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, 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Mauro Papalini, imprenditore e Presi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dente Confindustria Marche Nord, 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Gianluigi Storti, sindacalista Cisl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, </w:t>
      </w:r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Lucio </w:t>
      </w:r>
      <w:proofErr w:type="spellStart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Zanca</w:t>
      </w:r>
      <w:proofErr w:type="spellEnd"/>
      <w:r w:rsidRPr="00E90259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, docente universitario e consulente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.</w:t>
      </w:r>
      <w:r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 </w:t>
      </w:r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Modera Angela </w:t>
      </w:r>
      <w:proofErr w:type="spellStart"/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Tringali</w:t>
      </w:r>
      <w:proofErr w:type="spellEnd"/>
      <w:r w:rsidRPr="00A77FC6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, Direttore Compagnia delle Opere Pesaro Urbino</w:t>
      </w:r>
      <w:r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.</w:t>
      </w:r>
    </w:p>
    <w:p w:rsidR="00203299" w:rsidRPr="00E90259" w:rsidRDefault="00203299" w:rsidP="00203299">
      <w:pPr>
        <w:spacing w:after="0" w:line="240" w:lineRule="auto"/>
        <w:jc w:val="both"/>
        <w:rPr>
          <w:rFonts w:ascii="Tahoma" w:eastAsia="Times New Roman" w:hAnsi="Tahoma" w:cs="Tahoma"/>
          <w:color w:val="1D2228"/>
          <w:sz w:val="24"/>
          <w:szCs w:val="24"/>
          <w:lang w:eastAsia="it-IT"/>
        </w:rPr>
      </w:pPr>
    </w:p>
    <w:p w:rsidR="00203299" w:rsidRPr="00721172" w:rsidRDefault="00203299" w:rsidP="00203299">
      <w:pPr>
        <w:spacing w:after="0" w:line="240" w:lineRule="auto"/>
        <w:jc w:val="both"/>
        <w:rPr>
          <w:rFonts w:ascii="Tahoma" w:eastAsia="Times New Roman" w:hAnsi="Tahoma" w:cs="Tahoma"/>
          <w:color w:val="1D2228"/>
          <w:sz w:val="24"/>
          <w:szCs w:val="24"/>
          <w:lang w:eastAsia="it-IT"/>
        </w:rPr>
      </w:pPr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“La pandemia ha esaltato il ruolo del terzo settore che ha affiancato l’intervento pubblico in </w:t>
      </w:r>
      <w:proofErr w:type="gramStart"/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settori chiave</w:t>
      </w:r>
      <w:proofErr w:type="gramEnd"/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 come l’assistenza e la salute. Le Marche primeggiano, con un forte impegno solidale", osserva Giorgio </w:t>
      </w:r>
      <w:proofErr w:type="spellStart"/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Vittadini</w:t>
      </w:r>
      <w:proofErr w:type="spellEnd"/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, Presidente della Fondazione per la Sussidiarietà, "L’emergenza </w:t>
      </w:r>
      <w:proofErr w:type="spellStart"/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Covid</w:t>
      </w:r>
      <w:proofErr w:type="spellEnd"/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 ha penalizzato comparti come asili, centri diurni per invalidi, attività sportive e ricreative. </w:t>
      </w:r>
      <w:proofErr w:type="gramStart"/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Nonostante la crisi, privati ed enti pubblici hanno sostenuto con donazioni il terzo settore, riconoscendo il suo grande valore sociale e contribuendo a diffondere la cultura della sussidiarietà”.</w:t>
      </w:r>
      <w:proofErr w:type="gramEnd"/>
    </w:p>
    <w:p w:rsidR="00203299" w:rsidRPr="00721172" w:rsidRDefault="00203299" w:rsidP="00203299">
      <w:pPr>
        <w:spacing w:after="0" w:line="240" w:lineRule="auto"/>
        <w:jc w:val="both"/>
        <w:rPr>
          <w:rFonts w:ascii="Tahoma" w:eastAsia="Times New Roman" w:hAnsi="Tahoma" w:cs="Tahoma"/>
          <w:color w:val="1D2228"/>
          <w:sz w:val="24"/>
          <w:szCs w:val="24"/>
          <w:lang w:eastAsia="it-IT"/>
        </w:rPr>
      </w:pPr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Il terzo settore, rivela la ricerca della Fondazione per la Sussidiarietà, è un universo che conta 375.000 istituzioni tra associazioni, fondazioni e cooperative sociali, in aumento del 25% rispetto a </w:t>
      </w:r>
      <w:proofErr w:type="gramStart"/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10</w:t>
      </w:r>
      <w:proofErr w:type="gramEnd"/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 anni fa. Il valore della produzione del terzo settore in Italia è stimato in </w:t>
      </w:r>
      <w:proofErr w:type="gramStart"/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>80</w:t>
      </w:r>
      <w:proofErr w:type="gramEnd"/>
      <w:r w:rsidRPr="00721172">
        <w:rPr>
          <w:rFonts w:ascii="Tahoma" w:eastAsia="Times New Roman" w:hAnsi="Tahoma" w:cs="Tahoma"/>
          <w:color w:val="1D2228"/>
          <w:sz w:val="24"/>
          <w:szCs w:val="24"/>
          <w:lang w:eastAsia="it-IT"/>
        </w:rPr>
        <w:t xml:space="preserve"> miliardi di euro e sfiora il 5% del Prodotto interno lordo. Gli addetti sono 900.000 (70%</w:t>
      </w:r>
      <w:r w:rsidRPr="00A77FC6">
        <w:rPr>
          <w:rFonts w:ascii="Tahoma" w:hAnsi="Tahoma" w:cs="Tahoma"/>
          <w:sz w:val="24"/>
          <w:szCs w:val="24"/>
        </w:rPr>
        <w:t xml:space="preserve"> donne), ai quali si aggiungono </w:t>
      </w:r>
      <w:proofErr w:type="gramStart"/>
      <w:r w:rsidRPr="00A77FC6">
        <w:rPr>
          <w:rFonts w:ascii="Tahoma" w:hAnsi="Tahoma" w:cs="Tahoma"/>
          <w:sz w:val="24"/>
          <w:szCs w:val="24"/>
        </w:rPr>
        <w:t>4</w:t>
      </w:r>
      <w:proofErr w:type="gramEnd"/>
      <w:r w:rsidRPr="00A77FC6">
        <w:rPr>
          <w:rFonts w:ascii="Tahoma" w:hAnsi="Tahoma" w:cs="Tahoma"/>
          <w:sz w:val="24"/>
          <w:szCs w:val="24"/>
        </w:rPr>
        <w:t xml:space="preserve"> milioni di volontari.</w:t>
      </w:r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77FC6">
        <w:rPr>
          <w:rFonts w:ascii="Tahoma" w:hAnsi="Tahoma" w:cs="Tahoma"/>
          <w:sz w:val="24"/>
          <w:szCs w:val="24"/>
        </w:rPr>
        <w:t xml:space="preserve">Circa </w:t>
      </w:r>
      <w:proofErr w:type="gramStart"/>
      <w:r w:rsidRPr="00A77FC6">
        <w:rPr>
          <w:rFonts w:ascii="Tahoma" w:hAnsi="Tahoma" w:cs="Tahoma"/>
          <w:sz w:val="24"/>
          <w:szCs w:val="24"/>
        </w:rPr>
        <w:t>l’85%</w:t>
      </w:r>
      <w:proofErr w:type="gramEnd"/>
      <w:r w:rsidRPr="00A77FC6">
        <w:rPr>
          <w:rFonts w:ascii="Tahoma" w:hAnsi="Tahoma" w:cs="Tahoma"/>
          <w:sz w:val="24"/>
          <w:szCs w:val="24"/>
        </w:rPr>
        <w:t xml:space="preserve"> delle istituzioni del terzo settore è rappresentato da associazioni, il restante 15% sono cooperative sociali, fondazioni, sindacati o enti.</w:t>
      </w:r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77FC6">
        <w:rPr>
          <w:rFonts w:ascii="Tahoma" w:hAnsi="Tahoma" w:cs="Tahoma"/>
          <w:sz w:val="24"/>
          <w:szCs w:val="24"/>
        </w:rPr>
        <w:t xml:space="preserve">Due terzi delle istituzioni non profit (65%) </w:t>
      </w:r>
      <w:proofErr w:type="gramStart"/>
      <w:r w:rsidRPr="00A77FC6">
        <w:rPr>
          <w:rFonts w:ascii="Tahoma" w:hAnsi="Tahoma" w:cs="Tahoma"/>
          <w:sz w:val="24"/>
          <w:szCs w:val="24"/>
        </w:rPr>
        <w:t>operano</w:t>
      </w:r>
      <w:proofErr w:type="gramEnd"/>
      <w:r w:rsidRPr="00A77FC6">
        <w:rPr>
          <w:rFonts w:ascii="Tahoma" w:hAnsi="Tahoma" w:cs="Tahoma"/>
          <w:sz w:val="24"/>
          <w:szCs w:val="24"/>
        </w:rPr>
        <w:t xml:space="preserve"> in cultura, sport e ricreazione; seguono l’assistenza sociale e la protezione civile (9%), le relazioni sindacali e imprenditoriali (6%), la religione (5%), l’istruzione e ricerca (40%) e la sanità (4%).</w:t>
      </w:r>
    </w:p>
    <w:p w:rsidR="00203299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03299" w:rsidRDefault="00203299" w:rsidP="0020329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 w:type="page"/>
      </w:r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A77FC6">
        <w:rPr>
          <w:rFonts w:ascii="Tahoma" w:hAnsi="Tahoma" w:cs="Tahoma"/>
          <w:b/>
          <w:sz w:val="24"/>
          <w:szCs w:val="24"/>
        </w:rPr>
        <w:lastRenderedPageBreak/>
        <w:t>Boom delle istituzioni non profit in Italia</w:t>
      </w:r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444"/>
        <w:gridCol w:w="2444"/>
      </w:tblGrid>
      <w:tr w:rsidR="00203299" w:rsidRPr="00A77FC6" w:rsidTr="00C72584">
        <w:tc>
          <w:tcPr>
            <w:tcW w:w="2444" w:type="dxa"/>
          </w:tcPr>
          <w:p w:rsidR="00203299" w:rsidRPr="00A77FC6" w:rsidRDefault="00203299" w:rsidP="00C725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77FC6">
              <w:rPr>
                <w:rFonts w:ascii="Tahoma" w:hAnsi="Tahoma" w:cs="Tahoma"/>
                <w:sz w:val="24"/>
                <w:szCs w:val="24"/>
              </w:rPr>
              <w:t>Anno</w:t>
            </w:r>
          </w:p>
        </w:tc>
        <w:tc>
          <w:tcPr>
            <w:tcW w:w="2444" w:type="dxa"/>
          </w:tcPr>
          <w:p w:rsidR="00203299" w:rsidRPr="00A77FC6" w:rsidRDefault="00203299" w:rsidP="00C725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77FC6">
              <w:rPr>
                <w:rFonts w:ascii="Tahoma" w:hAnsi="Tahoma" w:cs="Tahoma"/>
                <w:sz w:val="24"/>
                <w:szCs w:val="24"/>
              </w:rPr>
              <w:t>Numero</w:t>
            </w:r>
          </w:p>
        </w:tc>
      </w:tr>
      <w:tr w:rsidR="00203299" w:rsidRPr="00A77FC6" w:rsidTr="00C72584">
        <w:tc>
          <w:tcPr>
            <w:tcW w:w="2444" w:type="dxa"/>
          </w:tcPr>
          <w:p w:rsidR="00203299" w:rsidRPr="00A77FC6" w:rsidRDefault="00203299" w:rsidP="00C725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77FC6">
              <w:rPr>
                <w:rFonts w:ascii="Tahoma" w:hAnsi="Tahoma" w:cs="Tahoma"/>
                <w:sz w:val="24"/>
                <w:szCs w:val="24"/>
              </w:rPr>
              <w:t>2021</w:t>
            </w:r>
          </w:p>
        </w:tc>
        <w:tc>
          <w:tcPr>
            <w:tcW w:w="2444" w:type="dxa"/>
          </w:tcPr>
          <w:p w:rsidR="00203299" w:rsidRPr="00A77FC6" w:rsidRDefault="00203299" w:rsidP="00C725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77FC6">
              <w:rPr>
                <w:rFonts w:ascii="Tahoma" w:hAnsi="Tahoma" w:cs="Tahoma"/>
                <w:sz w:val="24"/>
                <w:szCs w:val="24"/>
              </w:rPr>
              <w:t>375.000</w:t>
            </w:r>
          </w:p>
        </w:tc>
      </w:tr>
      <w:tr w:rsidR="00203299" w:rsidRPr="00A77FC6" w:rsidTr="00C72584">
        <w:tc>
          <w:tcPr>
            <w:tcW w:w="2444" w:type="dxa"/>
          </w:tcPr>
          <w:p w:rsidR="00203299" w:rsidRPr="00A77FC6" w:rsidRDefault="00203299" w:rsidP="00C725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77FC6">
              <w:rPr>
                <w:rFonts w:ascii="Tahoma" w:hAnsi="Tahoma" w:cs="Tahoma"/>
                <w:sz w:val="24"/>
                <w:szCs w:val="24"/>
              </w:rPr>
              <w:t>2011</w:t>
            </w:r>
          </w:p>
        </w:tc>
        <w:tc>
          <w:tcPr>
            <w:tcW w:w="2444" w:type="dxa"/>
          </w:tcPr>
          <w:p w:rsidR="00203299" w:rsidRPr="00A77FC6" w:rsidRDefault="00203299" w:rsidP="00C725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77FC6">
              <w:rPr>
                <w:rFonts w:ascii="Tahoma" w:hAnsi="Tahoma" w:cs="Tahoma"/>
                <w:sz w:val="24"/>
                <w:szCs w:val="24"/>
              </w:rPr>
              <w:t>301.000</w:t>
            </w:r>
          </w:p>
        </w:tc>
      </w:tr>
      <w:tr w:rsidR="00203299" w:rsidRPr="00A77FC6" w:rsidTr="00C72584">
        <w:tc>
          <w:tcPr>
            <w:tcW w:w="2444" w:type="dxa"/>
          </w:tcPr>
          <w:p w:rsidR="00203299" w:rsidRPr="00A77FC6" w:rsidRDefault="00203299" w:rsidP="00C725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77FC6">
              <w:rPr>
                <w:rFonts w:ascii="Tahoma" w:hAnsi="Tahoma" w:cs="Tahoma"/>
                <w:sz w:val="24"/>
                <w:szCs w:val="24"/>
              </w:rPr>
              <w:t>2001</w:t>
            </w:r>
          </w:p>
        </w:tc>
        <w:tc>
          <w:tcPr>
            <w:tcW w:w="2444" w:type="dxa"/>
          </w:tcPr>
          <w:p w:rsidR="00203299" w:rsidRPr="00A77FC6" w:rsidRDefault="00203299" w:rsidP="00C7258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77FC6">
              <w:rPr>
                <w:rFonts w:ascii="Tahoma" w:hAnsi="Tahoma" w:cs="Tahoma"/>
                <w:sz w:val="24"/>
                <w:szCs w:val="24"/>
              </w:rPr>
              <w:t>235.000</w:t>
            </w:r>
          </w:p>
        </w:tc>
      </w:tr>
    </w:tbl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77FC6">
        <w:rPr>
          <w:rFonts w:ascii="Tahoma" w:hAnsi="Tahoma" w:cs="Tahoma"/>
          <w:sz w:val="24"/>
          <w:szCs w:val="24"/>
        </w:rPr>
        <w:t>Fonte: Elaborazione Fondazione per la Sussidiarietà su dati Istat</w:t>
      </w:r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A77FC6">
        <w:rPr>
          <w:rFonts w:ascii="Tahoma" w:hAnsi="Tahoma" w:cs="Tahoma"/>
          <w:b/>
          <w:sz w:val="24"/>
          <w:szCs w:val="24"/>
        </w:rPr>
        <w:t xml:space="preserve">Top di supporter nel </w:t>
      </w:r>
      <w:proofErr w:type="gramStart"/>
      <w:r w:rsidRPr="00A77FC6">
        <w:rPr>
          <w:rFonts w:ascii="Tahoma" w:hAnsi="Tahoma" w:cs="Tahoma"/>
          <w:b/>
          <w:sz w:val="24"/>
          <w:szCs w:val="24"/>
        </w:rPr>
        <w:t>Nord Italia</w:t>
      </w:r>
      <w:proofErr w:type="gramEnd"/>
    </w:p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W w:w="399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20"/>
        <w:gridCol w:w="1274"/>
      </w:tblGrid>
      <w:tr w:rsidR="00203299" w:rsidRPr="00A77FC6" w:rsidTr="00C72584">
        <w:trPr>
          <w:trHeight w:val="300"/>
        </w:trPr>
        <w:tc>
          <w:tcPr>
            <w:tcW w:w="2720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Regione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Sostenitori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Trentino Alto Adige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26,8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Friuli-Venezia Giulia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20,7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Valle d'Aosta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20,3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Toscana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18,0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Lombardia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16,8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Liguria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16,4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Veneto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15,4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Marche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15,0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Piemonte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14,8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Umbria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14,0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Sardegna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13,9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b/>
                <w:sz w:val="24"/>
                <w:szCs w:val="24"/>
                <w:lang w:eastAsia="it-IT"/>
              </w:rPr>
              <w:t>Italia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b/>
                <w:sz w:val="24"/>
                <w:szCs w:val="24"/>
                <w:lang w:eastAsia="it-IT"/>
              </w:rPr>
              <w:t>13,4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Basilicata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12,3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Abruzzo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11,3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Lazio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11,2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Molise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9,1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Puglia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8,4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Calabria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7,5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Campania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7,4</w:t>
            </w:r>
          </w:p>
        </w:tc>
      </w:tr>
      <w:tr w:rsidR="00203299" w:rsidRPr="00A77FC6" w:rsidTr="00C72584">
        <w:trPr>
          <w:trHeight w:val="20"/>
        </w:trPr>
        <w:tc>
          <w:tcPr>
            <w:tcW w:w="2720" w:type="dxa"/>
            <w:shd w:val="clear" w:color="auto" w:fill="auto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Sicilia</w:t>
            </w:r>
          </w:p>
        </w:tc>
        <w:tc>
          <w:tcPr>
            <w:tcW w:w="1274" w:type="dxa"/>
            <w:shd w:val="clear" w:color="auto" w:fill="auto"/>
            <w:noWrap/>
            <w:vAlign w:val="bottom"/>
            <w:hideMark/>
          </w:tcPr>
          <w:p w:rsidR="00203299" w:rsidRPr="00A77FC6" w:rsidRDefault="00203299" w:rsidP="00C72584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</w:pPr>
            <w:r w:rsidRPr="00A77FC6">
              <w:rPr>
                <w:rFonts w:ascii="Tahoma" w:eastAsia="Times New Roman" w:hAnsi="Tahoma" w:cs="Tahoma"/>
                <w:sz w:val="24"/>
                <w:szCs w:val="24"/>
                <w:lang w:eastAsia="it-IT"/>
              </w:rPr>
              <w:t>6,1</w:t>
            </w:r>
          </w:p>
        </w:tc>
      </w:tr>
    </w:tbl>
    <w:p w:rsidR="00203299" w:rsidRPr="00A77FC6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03299" w:rsidRDefault="00203299" w:rsidP="0020329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A77FC6">
        <w:rPr>
          <w:rFonts w:ascii="Tahoma" w:hAnsi="Tahoma" w:cs="Tahoma"/>
          <w:sz w:val="24"/>
          <w:szCs w:val="24"/>
        </w:rPr>
        <w:t>Fonte: Elaborazione Fondazione per la Sussidiarietà su dati Istat</w:t>
      </w:r>
    </w:p>
    <w:p w:rsidR="00A642EE" w:rsidRDefault="00A642EE" w:rsidP="00203299">
      <w:pPr>
        <w:rPr>
          <w:szCs w:val="24"/>
        </w:rPr>
      </w:pPr>
    </w:p>
    <w:p w:rsidR="003948C0" w:rsidRDefault="003948C0" w:rsidP="00203299">
      <w:pPr>
        <w:rPr>
          <w:szCs w:val="24"/>
        </w:rPr>
      </w:pPr>
    </w:p>
    <w:p w:rsidR="003948C0" w:rsidRDefault="003948C0" w:rsidP="003948C0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Pesaro, 18 ottobre 2021</w:t>
      </w:r>
    </w:p>
    <w:p w:rsidR="003948C0" w:rsidRDefault="003948C0" w:rsidP="003948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Ufficio stampa Fondazione per la Sussidiarietà</w:t>
      </w:r>
    </w:p>
    <w:p w:rsidR="003948C0" w:rsidRPr="00A77FC6" w:rsidRDefault="003948C0" w:rsidP="003948C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Attilio De </w:t>
      </w:r>
      <w:proofErr w:type="spellStart"/>
      <w:r>
        <w:rPr>
          <w:rFonts w:ascii="Tahoma" w:hAnsi="Tahoma" w:cs="Tahoma"/>
          <w:sz w:val="24"/>
          <w:szCs w:val="24"/>
        </w:rPr>
        <w:t>Pascalis</w:t>
      </w:r>
      <w:proofErr w:type="spellEnd"/>
      <w:r>
        <w:rPr>
          <w:rFonts w:ascii="Tahoma" w:hAnsi="Tahoma" w:cs="Tahoma"/>
          <w:sz w:val="24"/>
          <w:szCs w:val="24"/>
        </w:rPr>
        <w:t>, Tel. 3357630184 - attiliodepascalis@yahoo.it</w:t>
      </w:r>
    </w:p>
    <w:p w:rsidR="003948C0" w:rsidRPr="00203299" w:rsidRDefault="003948C0" w:rsidP="00203299">
      <w:pPr>
        <w:rPr>
          <w:szCs w:val="24"/>
        </w:rPr>
      </w:pPr>
    </w:p>
    <w:sectPr w:rsidR="003948C0" w:rsidRPr="00203299" w:rsidSect="00462F0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476" w:rsidRDefault="00A93476" w:rsidP="004D397C">
      <w:pPr>
        <w:spacing w:after="0" w:line="240" w:lineRule="auto"/>
      </w:pPr>
      <w:r>
        <w:separator/>
      </w:r>
    </w:p>
  </w:endnote>
  <w:endnote w:type="continuationSeparator" w:id="0">
    <w:p w:rsidR="00A93476" w:rsidRDefault="00A93476" w:rsidP="004D3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954" w:rsidRDefault="001E595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 w:rsidRPr="001E5954">
      <w:rPr>
        <w:rFonts w:asciiTheme="majorHAnsi" w:hAnsiTheme="majorHAnsi"/>
        <w:b/>
      </w:rPr>
      <w:t xml:space="preserve">Fondazione per la Sussidiarietà - Via </w:t>
    </w:r>
    <w:proofErr w:type="spellStart"/>
    <w:r w:rsidRPr="001E5954">
      <w:rPr>
        <w:rFonts w:asciiTheme="majorHAnsi" w:hAnsiTheme="majorHAnsi"/>
        <w:b/>
      </w:rPr>
      <w:t>Legnone</w:t>
    </w:r>
    <w:proofErr w:type="spellEnd"/>
    <w:r w:rsidRPr="001E5954">
      <w:rPr>
        <w:rFonts w:asciiTheme="majorHAnsi" w:hAnsiTheme="majorHAnsi"/>
        <w:b/>
      </w:rPr>
      <w:t xml:space="preserve"> </w:t>
    </w:r>
    <w:r w:rsidR="007A31C2">
      <w:rPr>
        <w:rFonts w:asciiTheme="majorHAnsi" w:hAnsiTheme="majorHAnsi"/>
        <w:b/>
      </w:rPr>
      <w:t xml:space="preserve">4 - 20158 </w:t>
    </w:r>
    <w:r w:rsidRPr="001E5954">
      <w:rPr>
        <w:rFonts w:asciiTheme="majorHAnsi" w:hAnsiTheme="majorHAnsi"/>
        <w:b/>
      </w:rPr>
      <w:t>Milano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r w:rsidR="005C30A5" w:rsidRPr="005C30A5">
      <w:fldChar w:fldCharType="begin"/>
    </w:r>
    <w:r w:rsidR="00796835">
      <w:instrText xml:space="preserve"> PAGE   \* MERGEFORMAT </w:instrText>
    </w:r>
    <w:r w:rsidR="005C30A5" w:rsidRPr="005C30A5">
      <w:fldChar w:fldCharType="separate"/>
    </w:r>
    <w:r w:rsidR="003948C0" w:rsidRPr="003948C0">
      <w:rPr>
        <w:rFonts w:asciiTheme="majorHAnsi" w:hAnsiTheme="majorHAnsi"/>
        <w:noProof/>
      </w:rPr>
      <w:t>2</w:t>
    </w:r>
    <w:r w:rsidR="005C30A5">
      <w:rPr>
        <w:rFonts w:asciiTheme="majorHAnsi" w:hAnsiTheme="majorHAnsi"/>
        <w:noProof/>
      </w:rPr>
      <w:fldChar w:fldCharType="end"/>
    </w:r>
  </w:p>
  <w:p w:rsidR="001E5954" w:rsidRDefault="001E595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476" w:rsidRDefault="00A93476" w:rsidP="004D397C">
      <w:pPr>
        <w:spacing w:after="0" w:line="240" w:lineRule="auto"/>
      </w:pPr>
      <w:r>
        <w:separator/>
      </w:r>
    </w:p>
  </w:footnote>
  <w:footnote w:type="continuationSeparator" w:id="0">
    <w:p w:rsidR="00A93476" w:rsidRDefault="00A93476" w:rsidP="004D3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97C" w:rsidRDefault="004D397C">
    <w:pPr>
      <w:pStyle w:val="Intestazione"/>
    </w:pPr>
    <w:r w:rsidRPr="00C8106D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-40640</wp:posOffset>
          </wp:positionH>
          <wp:positionV relativeFrom="paragraph">
            <wp:posOffset>-271780</wp:posOffset>
          </wp:positionV>
          <wp:extent cx="863600" cy="660400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D397C" w:rsidRDefault="004D397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97C"/>
    <w:rsid w:val="0000248A"/>
    <w:rsid w:val="00007B79"/>
    <w:rsid w:val="00033C05"/>
    <w:rsid w:val="00034EA9"/>
    <w:rsid w:val="00042951"/>
    <w:rsid w:val="000666E8"/>
    <w:rsid w:val="00066F7F"/>
    <w:rsid w:val="00071C9D"/>
    <w:rsid w:val="00097077"/>
    <w:rsid w:val="000A7EFC"/>
    <w:rsid w:val="000C1AB3"/>
    <w:rsid w:val="000C6528"/>
    <w:rsid w:val="000D296F"/>
    <w:rsid w:val="000D4712"/>
    <w:rsid w:val="000D5BC8"/>
    <w:rsid w:val="000F4C87"/>
    <w:rsid w:val="00105A98"/>
    <w:rsid w:val="00124E52"/>
    <w:rsid w:val="001429AA"/>
    <w:rsid w:val="001431EE"/>
    <w:rsid w:val="001442C8"/>
    <w:rsid w:val="001715A7"/>
    <w:rsid w:val="00177B80"/>
    <w:rsid w:val="00182FB1"/>
    <w:rsid w:val="00183E7A"/>
    <w:rsid w:val="00187A98"/>
    <w:rsid w:val="001967D8"/>
    <w:rsid w:val="001B2175"/>
    <w:rsid w:val="001C22AD"/>
    <w:rsid w:val="001E5954"/>
    <w:rsid w:val="001F6DA7"/>
    <w:rsid w:val="001F773E"/>
    <w:rsid w:val="00203299"/>
    <w:rsid w:val="00203FE2"/>
    <w:rsid w:val="00206ADA"/>
    <w:rsid w:val="00207487"/>
    <w:rsid w:val="00214840"/>
    <w:rsid w:val="00223320"/>
    <w:rsid w:val="00223403"/>
    <w:rsid w:val="00234895"/>
    <w:rsid w:val="00241052"/>
    <w:rsid w:val="00255304"/>
    <w:rsid w:val="00256792"/>
    <w:rsid w:val="00260062"/>
    <w:rsid w:val="002A02BD"/>
    <w:rsid w:val="002C6BD2"/>
    <w:rsid w:val="002E1F76"/>
    <w:rsid w:val="0030371D"/>
    <w:rsid w:val="00303BC4"/>
    <w:rsid w:val="003120B2"/>
    <w:rsid w:val="00312940"/>
    <w:rsid w:val="00346095"/>
    <w:rsid w:val="0038659F"/>
    <w:rsid w:val="0039083D"/>
    <w:rsid w:val="003948C0"/>
    <w:rsid w:val="0039790B"/>
    <w:rsid w:val="003C70BE"/>
    <w:rsid w:val="003C75A3"/>
    <w:rsid w:val="003D49D3"/>
    <w:rsid w:val="003E1455"/>
    <w:rsid w:val="00402668"/>
    <w:rsid w:val="00411CD8"/>
    <w:rsid w:val="00422A48"/>
    <w:rsid w:val="00427F0C"/>
    <w:rsid w:val="00431A31"/>
    <w:rsid w:val="004326C4"/>
    <w:rsid w:val="00432FF0"/>
    <w:rsid w:val="00442649"/>
    <w:rsid w:val="00446F20"/>
    <w:rsid w:val="00462F02"/>
    <w:rsid w:val="00463346"/>
    <w:rsid w:val="00494286"/>
    <w:rsid w:val="00496FF8"/>
    <w:rsid w:val="00497492"/>
    <w:rsid w:val="004A1C4D"/>
    <w:rsid w:val="004D397C"/>
    <w:rsid w:val="004D3C1C"/>
    <w:rsid w:val="004E08DC"/>
    <w:rsid w:val="00513488"/>
    <w:rsid w:val="00533635"/>
    <w:rsid w:val="005349E0"/>
    <w:rsid w:val="0055043E"/>
    <w:rsid w:val="00552590"/>
    <w:rsid w:val="00561ACE"/>
    <w:rsid w:val="0056633F"/>
    <w:rsid w:val="00566DE2"/>
    <w:rsid w:val="00573C56"/>
    <w:rsid w:val="00591907"/>
    <w:rsid w:val="005A2791"/>
    <w:rsid w:val="005B2D14"/>
    <w:rsid w:val="005B6F40"/>
    <w:rsid w:val="005C30A5"/>
    <w:rsid w:val="005D670F"/>
    <w:rsid w:val="005E13BA"/>
    <w:rsid w:val="00617123"/>
    <w:rsid w:val="006333DE"/>
    <w:rsid w:val="00647877"/>
    <w:rsid w:val="0065170F"/>
    <w:rsid w:val="006566FF"/>
    <w:rsid w:val="00673E45"/>
    <w:rsid w:val="00684645"/>
    <w:rsid w:val="0069001B"/>
    <w:rsid w:val="0069154F"/>
    <w:rsid w:val="00691BD6"/>
    <w:rsid w:val="006B0F07"/>
    <w:rsid w:val="006C2260"/>
    <w:rsid w:val="006D5908"/>
    <w:rsid w:val="006E40E2"/>
    <w:rsid w:val="007241DC"/>
    <w:rsid w:val="00774595"/>
    <w:rsid w:val="00781038"/>
    <w:rsid w:val="00796835"/>
    <w:rsid w:val="007A31C2"/>
    <w:rsid w:val="007A54C5"/>
    <w:rsid w:val="007B2EE2"/>
    <w:rsid w:val="007B366E"/>
    <w:rsid w:val="007C79C3"/>
    <w:rsid w:val="007C7EFC"/>
    <w:rsid w:val="007D75E3"/>
    <w:rsid w:val="007F3A4E"/>
    <w:rsid w:val="007F5C5B"/>
    <w:rsid w:val="007F6648"/>
    <w:rsid w:val="0080096F"/>
    <w:rsid w:val="00804712"/>
    <w:rsid w:val="00813C51"/>
    <w:rsid w:val="00817E2A"/>
    <w:rsid w:val="008315B8"/>
    <w:rsid w:val="00836DA8"/>
    <w:rsid w:val="00842B60"/>
    <w:rsid w:val="00842BFE"/>
    <w:rsid w:val="008433F3"/>
    <w:rsid w:val="00847444"/>
    <w:rsid w:val="00854863"/>
    <w:rsid w:val="008811E8"/>
    <w:rsid w:val="00883B8B"/>
    <w:rsid w:val="00887B85"/>
    <w:rsid w:val="00892CFD"/>
    <w:rsid w:val="00894841"/>
    <w:rsid w:val="008D0C16"/>
    <w:rsid w:val="008E34BC"/>
    <w:rsid w:val="008E645D"/>
    <w:rsid w:val="008F1C1A"/>
    <w:rsid w:val="008F4B34"/>
    <w:rsid w:val="00910621"/>
    <w:rsid w:val="009231CD"/>
    <w:rsid w:val="00932586"/>
    <w:rsid w:val="00946A6A"/>
    <w:rsid w:val="00950838"/>
    <w:rsid w:val="00956644"/>
    <w:rsid w:val="00957BE9"/>
    <w:rsid w:val="00960C16"/>
    <w:rsid w:val="00976EAD"/>
    <w:rsid w:val="00984FB9"/>
    <w:rsid w:val="009A2BDC"/>
    <w:rsid w:val="009B128C"/>
    <w:rsid w:val="009C5A55"/>
    <w:rsid w:val="009C6DDF"/>
    <w:rsid w:val="009C6E80"/>
    <w:rsid w:val="009E5BB5"/>
    <w:rsid w:val="00A032F1"/>
    <w:rsid w:val="00A049BD"/>
    <w:rsid w:val="00A05418"/>
    <w:rsid w:val="00A05427"/>
    <w:rsid w:val="00A20B6A"/>
    <w:rsid w:val="00A23E42"/>
    <w:rsid w:val="00A24678"/>
    <w:rsid w:val="00A37B7F"/>
    <w:rsid w:val="00A4407F"/>
    <w:rsid w:val="00A57F2D"/>
    <w:rsid w:val="00A642EE"/>
    <w:rsid w:val="00A83365"/>
    <w:rsid w:val="00A93476"/>
    <w:rsid w:val="00A9488D"/>
    <w:rsid w:val="00A94D1E"/>
    <w:rsid w:val="00A954FB"/>
    <w:rsid w:val="00AA105D"/>
    <w:rsid w:val="00AA2732"/>
    <w:rsid w:val="00AB03DA"/>
    <w:rsid w:val="00AB1CA6"/>
    <w:rsid w:val="00AC498E"/>
    <w:rsid w:val="00AD0C2C"/>
    <w:rsid w:val="00AE1549"/>
    <w:rsid w:val="00AE4E83"/>
    <w:rsid w:val="00AF0652"/>
    <w:rsid w:val="00AF4455"/>
    <w:rsid w:val="00B056AE"/>
    <w:rsid w:val="00B06387"/>
    <w:rsid w:val="00B22CFD"/>
    <w:rsid w:val="00B355A6"/>
    <w:rsid w:val="00B541BE"/>
    <w:rsid w:val="00B561EF"/>
    <w:rsid w:val="00B62157"/>
    <w:rsid w:val="00B77391"/>
    <w:rsid w:val="00B810B6"/>
    <w:rsid w:val="00B81D9D"/>
    <w:rsid w:val="00B87D1D"/>
    <w:rsid w:val="00BA29F0"/>
    <w:rsid w:val="00BC3C6A"/>
    <w:rsid w:val="00BC52D1"/>
    <w:rsid w:val="00BD46F4"/>
    <w:rsid w:val="00BD7D3D"/>
    <w:rsid w:val="00BF33E0"/>
    <w:rsid w:val="00BF4552"/>
    <w:rsid w:val="00C2653B"/>
    <w:rsid w:val="00C428E7"/>
    <w:rsid w:val="00C50EF2"/>
    <w:rsid w:val="00C53059"/>
    <w:rsid w:val="00C75CC7"/>
    <w:rsid w:val="00C913D7"/>
    <w:rsid w:val="00C9167C"/>
    <w:rsid w:val="00CB6F07"/>
    <w:rsid w:val="00CC6E22"/>
    <w:rsid w:val="00CE095D"/>
    <w:rsid w:val="00CE2461"/>
    <w:rsid w:val="00CF6C7A"/>
    <w:rsid w:val="00D0051D"/>
    <w:rsid w:val="00D21DB4"/>
    <w:rsid w:val="00D22ED9"/>
    <w:rsid w:val="00D269BA"/>
    <w:rsid w:val="00D34729"/>
    <w:rsid w:val="00D50390"/>
    <w:rsid w:val="00D544B6"/>
    <w:rsid w:val="00D61AFE"/>
    <w:rsid w:val="00D72AC6"/>
    <w:rsid w:val="00D74BE1"/>
    <w:rsid w:val="00D77F00"/>
    <w:rsid w:val="00D816C8"/>
    <w:rsid w:val="00D81888"/>
    <w:rsid w:val="00D967EC"/>
    <w:rsid w:val="00DA310E"/>
    <w:rsid w:val="00DA55A3"/>
    <w:rsid w:val="00DA677A"/>
    <w:rsid w:val="00DC077B"/>
    <w:rsid w:val="00DC5FBC"/>
    <w:rsid w:val="00DC718E"/>
    <w:rsid w:val="00DD1D85"/>
    <w:rsid w:val="00DD3CC9"/>
    <w:rsid w:val="00DD43BE"/>
    <w:rsid w:val="00DE0105"/>
    <w:rsid w:val="00DE461B"/>
    <w:rsid w:val="00DE5AC6"/>
    <w:rsid w:val="00DE743A"/>
    <w:rsid w:val="00DF6A71"/>
    <w:rsid w:val="00DF7394"/>
    <w:rsid w:val="00E269A4"/>
    <w:rsid w:val="00E42AE4"/>
    <w:rsid w:val="00E532B1"/>
    <w:rsid w:val="00E56A5C"/>
    <w:rsid w:val="00E90FDE"/>
    <w:rsid w:val="00E933B0"/>
    <w:rsid w:val="00E95C85"/>
    <w:rsid w:val="00E9723B"/>
    <w:rsid w:val="00EA6302"/>
    <w:rsid w:val="00EB1AD0"/>
    <w:rsid w:val="00EB5ACA"/>
    <w:rsid w:val="00EB6BA2"/>
    <w:rsid w:val="00EE43E8"/>
    <w:rsid w:val="00EE58E5"/>
    <w:rsid w:val="00EE665A"/>
    <w:rsid w:val="00EF1CD1"/>
    <w:rsid w:val="00F03DDD"/>
    <w:rsid w:val="00F06BE8"/>
    <w:rsid w:val="00F17036"/>
    <w:rsid w:val="00F25D86"/>
    <w:rsid w:val="00F374F4"/>
    <w:rsid w:val="00F46EF8"/>
    <w:rsid w:val="00F7223F"/>
    <w:rsid w:val="00F74CED"/>
    <w:rsid w:val="00F81A86"/>
    <w:rsid w:val="00F86C34"/>
    <w:rsid w:val="00FA0F8B"/>
    <w:rsid w:val="00FA4A55"/>
    <w:rsid w:val="00FC35A2"/>
    <w:rsid w:val="00FC52FD"/>
    <w:rsid w:val="00FD1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2F0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97C"/>
  </w:style>
  <w:style w:type="paragraph" w:styleId="Pidipagina">
    <w:name w:val="footer"/>
    <w:basedOn w:val="Normale"/>
    <w:link w:val="PidipaginaCarattere"/>
    <w:uiPriority w:val="99"/>
    <w:unhideWhenUsed/>
    <w:rsid w:val="004D3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97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5954"/>
    <w:rPr>
      <w:rFonts w:ascii="Tahoma" w:hAnsi="Tahoma" w:cs="Tahoma"/>
      <w:sz w:val="16"/>
      <w:szCs w:val="16"/>
    </w:rPr>
  </w:style>
  <w:style w:type="paragraph" w:customStyle="1" w:styleId="testo">
    <w:name w:val="testo"/>
    <w:basedOn w:val="Normale"/>
    <w:uiPriority w:val="99"/>
    <w:rsid w:val="00446F20"/>
    <w:pPr>
      <w:widowControl w:val="0"/>
      <w:autoSpaceDE w:val="0"/>
      <w:autoSpaceDN w:val="0"/>
      <w:adjustRightInd w:val="0"/>
      <w:spacing w:after="0" w:line="250" w:lineRule="atLeast"/>
      <w:jc w:val="both"/>
      <w:textAlignment w:val="center"/>
    </w:pPr>
    <w:rPr>
      <w:rFonts w:ascii="Times New Roman" w:eastAsiaTheme="minorEastAsia" w:hAnsi="Times New Roman" w:cs="Times New Roman"/>
      <w:color w:val="000000"/>
      <w:spacing w:val="-2"/>
      <w:sz w:val="21"/>
      <w:szCs w:val="21"/>
      <w:lang w:eastAsia="it-IT"/>
    </w:rPr>
  </w:style>
  <w:style w:type="character" w:customStyle="1" w:styleId="italic">
    <w:name w:val="italic"/>
    <w:uiPriority w:val="99"/>
    <w:rsid w:val="00446F20"/>
    <w:rPr>
      <w:i/>
    </w:rPr>
  </w:style>
  <w:style w:type="character" w:customStyle="1" w:styleId="bold">
    <w:name w:val="bold"/>
    <w:uiPriority w:val="99"/>
    <w:rsid w:val="00446F20"/>
    <w:rPr>
      <w:b/>
    </w:rPr>
  </w:style>
  <w:style w:type="table" w:styleId="Grigliatabella">
    <w:name w:val="Table Grid"/>
    <w:basedOn w:val="Tabellanormale"/>
    <w:uiPriority w:val="59"/>
    <w:rsid w:val="00203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B176A-3B84-4B1C-89DC-4CAE6DC58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fondazione per la sussidiarietà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windo</cp:lastModifiedBy>
  <cp:revision>2</cp:revision>
  <cp:lastPrinted>2021-06-23T12:26:00Z</cp:lastPrinted>
  <dcterms:created xsi:type="dcterms:W3CDTF">2022-05-01T15:21:00Z</dcterms:created>
  <dcterms:modified xsi:type="dcterms:W3CDTF">2022-05-01T15:21:00Z</dcterms:modified>
</cp:coreProperties>
</file>