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F3EB" w14:textId="5622F8B7" w:rsidR="00571D04" w:rsidRPr="005A3835" w:rsidRDefault="00571D04" w:rsidP="00571D04">
      <w:pPr>
        <w:pStyle w:val="ydp6007faf4msonormal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835">
        <w:rPr>
          <w:rFonts w:ascii="Times New Roman" w:hAnsi="Times New Roman" w:cs="Times New Roman"/>
          <w:b/>
          <w:bCs/>
          <w:sz w:val="28"/>
          <w:szCs w:val="28"/>
        </w:rPr>
        <w:t xml:space="preserve">FPS: in Italia per assistere anziani e disabili </w:t>
      </w:r>
      <w:r w:rsidR="005A3835" w:rsidRPr="005A3835">
        <w:rPr>
          <w:rFonts w:ascii="Times New Roman" w:hAnsi="Times New Roman" w:cs="Times New Roman"/>
          <w:b/>
          <w:bCs/>
          <w:sz w:val="28"/>
          <w:szCs w:val="28"/>
        </w:rPr>
        <w:t>il 2,</w:t>
      </w:r>
      <w:r w:rsidR="00820D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3835" w:rsidRPr="005A3835">
        <w:rPr>
          <w:rFonts w:ascii="Times New Roman" w:hAnsi="Times New Roman" w:cs="Times New Roman"/>
          <w:b/>
          <w:bCs/>
          <w:sz w:val="28"/>
          <w:szCs w:val="28"/>
        </w:rPr>
        <w:t>% del Pil (</w:t>
      </w:r>
      <w:r w:rsidRPr="005A3835">
        <w:rPr>
          <w:rFonts w:ascii="Times New Roman" w:hAnsi="Times New Roman" w:cs="Times New Roman"/>
          <w:b/>
          <w:bCs/>
          <w:sz w:val="28"/>
          <w:szCs w:val="28"/>
        </w:rPr>
        <w:t>3,5%</w:t>
      </w:r>
      <w:r w:rsidR="005A3835" w:rsidRPr="005A3835">
        <w:rPr>
          <w:rFonts w:ascii="Times New Roman" w:hAnsi="Times New Roman" w:cs="Times New Roman"/>
          <w:b/>
          <w:bCs/>
          <w:sz w:val="28"/>
          <w:szCs w:val="28"/>
        </w:rPr>
        <w:t xml:space="preserve"> nell'Ocse) </w:t>
      </w:r>
      <w:r w:rsidR="005A3835">
        <w:rPr>
          <w:rFonts w:ascii="Times New Roman" w:hAnsi="Times New Roman" w:cs="Times New Roman"/>
          <w:b/>
          <w:bCs/>
          <w:sz w:val="28"/>
          <w:szCs w:val="28"/>
        </w:rPr>
        <w:t xml:space="preserve">Occorre </w:t>
      </w:r>
      <w:r w:rsidRPr="005A3835">
        <w:rPr>
          <w:rFonts w:ascii="Times New Roman" w:hAnsi="Times New Roman" w:cs="Times New Roman"/>
          <w:b/>
          <w:bCs/>
          <w:sz w:val="28"/>
          <w:szCs w:val="28"/>
        </w:rPr>
        <w:t xml:space="preserve">un Servizio </w:t>
      </w:r>
      <w:r w:rsidR="005A3835" w:rsidRPr="005A3835">
        <w:rPr>
          <w:rFonts w:ascii="Times New Roman" w:hAnsi="Times New Roman" w:cs="Times New Roman"/>
          <w:b/>
          <w:bCs/>
          <w:sz w:val="28"/>
          <w:szCs w:val="28"/>
        </w:rPr>
        <w:t>nazionale per la non autosufficienza</w:t>
      </w:r>
    </w:p>
    <w:p w14:paraId="2B554568" w14:textId="77777777" w:rsidR="00A63B7F" w:rsidRPr="005A3835" w:rsidRDefault="00A63B7F" w:rsidP="00571D04">
      <w:pPr>
        <w:pStyle w:val="ydp6007faf4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A3835">
        <w:rPr>
          <w:rFonts w:ascii="Times New Roman" w:hAnsi="Times New Roman" w:cs="Times New Roman"/>
          <w:b/>
          <w:bCs/>
          <w:sz w:val="28"/>
          <w:szCs w:val="28"/>
        </w:rPr>
        <w:t xml:space="preserve">Costa, Sottosegretario alla Salute: 20 milioni in più al Fondo di </w:t>
      </w:r>
      <w:r w:rsidR="005A3835">
        <w:rPr>
          <w:rFonts w:ascii="Times New Roman" w:hAnsi="Times New Roman" w:cs="Times New Roman"/>
          <w:b/>
          <w:bCs/>
          <w:sz w:val="28"/>
          <w:szCs w:val="28"/>
        </w:rPr>
        <w:t>Assistenza</w:t>
      </w:r>
    </w:p>
    <w:p w14:paraId="015461C1" w14:textId="77777777" w:rsidR="00571D04" w:rsidRPr="00CF6000" w:rsidRDefault="00571D04" w:rsidP="00571D04">
      <w:pPr>
        <w:pStyle w:val="ydp6007faf4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1D36DAB8" w14:textId="3FA534EA" w:rsidR="003F342E" w:rsidRPr="00CF6000" w:rsidRDefault="00F117D3" w:rsidP="0061614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F6000">
        <w:rPr>
          <w:color w:val="1D2228"/>
        </w:rPr>
        <w:t>L'Italia destina all'assistenza di anziani e disabili risorse insufficienti, il 2,</w:t>
      </w:r>
      <w:r w:rsidR="00820DD3">
        <w:rPr>
          <w:color w:val="1D2228"/>
        </w:rPr>
        <w:t>5</w:t>
      </w:r>
      <w:r w:rsidRPr="00CF6000">
        <w:rPr>
          <w:color w:val="1D2228"/>
        </w:rPr>
        <w:t xml:space="preserve">% del prodotto interno lordo, </w:t>
      </w:r>
      <w:r w:rsidR="00C41D57" w:rsidRPr="00CF6000">
        <w:rPr>
          <w:color w:val="1D2228"/>
        </w:rPr>
        <w:t xml:space="preserve">contro il </w:t>
      </w:r>
      <w:r w:rsidRPr="00CF6000">
        <w:rPr>
          <w:color w:val="1D2228"/>
        </w:rPr>
        <w:t xml:space="preserve">3,5% dei paesi Ocse più sviluppati e molto </w:t>
      </w:r>
      <w:r w:rsidR="00C41D57" w:rsidRPr="00CF6000">
        <w:rPr>
          <w:color w:val="1D2228"/>
        </w:rPr>
        <w:t xml:space="preserve">meno </w:t>
      </w:r>
      <w:r w:rsidR="00B62C29" w:rsidRPr="00CF6000">
        <w:rPr>
          <w:color w:val="1D2228"/>
        </w:rPr>
        <w:t xml:space="preserve">di </w:t>
      </w:r>
      <w:r w:rsidRPr="00CF6000">
        <w:rPr>
          <w:color w:val="1D2228"/>
        </w:rPr>
        <w:t>Germania (4,5%), Gran Bretagna (4,3%) e Francia (4,1%).</w:t>
      </w:r>
      <w:r w:rsidR="003B7BAF" w:rsidRPr="00CF6000">
        <w:rPr>
          <w:color w:val="1D2228"/>
        </w:rPr>
        <w:t xml:space="preserve"> </w:t>
      </w:r>
      <w:r w:rsidRPr="00CF6000">
        <w:rPr>
          <w:color w:val="1D2228"/>
        </w:rPr>
        <w:t>È quanto </w:t>
      </w:r>
      <w:r w:rsidR="00616149" w:rsidRPr="00CF6000">
        <w:rPr>
          <w:color w:val="1D2228"/>
        </w:rPr>
        <w:t xml:space="preserve">emerso </w:t>
      </w:r>
      <w:r w:rsidRPr="00CF6000">
        <w:rPr>
          <w:color w:val="1D2228"/>
        </w:rPr>
        <w:t xml:space="preserve">oggi </w:t>
      </w:r>
      <w:r w:rsidR="00616149" w:rsidRPr="00CF6000">
        <w:rPr>
          <w:color w:val="1D2228"/>
        </w:rPr>
        <w:t xml:space="preserve">a Roma </w:t>
      </w:r>
      <w:r w:rsidR="00E51925" w:rsidRPr="00CF6000">
        <w:rPr>
          <w:color w:val="1D2228"/>
        </w:rPr>
        <w:t xml:space="preserve">alla </w:t>
      </w:r>
      <w:r w:rsidRPr="00CF6000">
        <w:rPr>
          <w:color w:val="1D2228"/>
        </w:rPr>
        <w:t>presentazione </w:t>
      </w:r>
      <w:r w:rsidR="0009166A" w:rsidRPr="00CF6000">
        <w:rPr>
          <w:color w:val="1D2228"/>
        </w:rPr>
        <w:t xml:space="preserve">del </w:t>
      </w:r>
      <w:r w:rsidR="003B7BAF" w:rsidRPr="00CF6000">
        <w:rPr>
          <w:color w:val="1D2228"/>
        </w:rPr>
        <w:t>R</w:t>
      </w:r>
      <w:r w:rsidR="0009166A" w:rsidRPr="00CF6000">
        <w:rPr>
          <w:color w:val="1D2228"/>
        </w:rPr>
        <w:t xml:space="preserve">apporto </w:t>
      </w:r>
      <w:r w:rsidRPr="00CF6000">
        <w:rPr>
          <w:color w:val="1D2228"/>
        </w:rPr>
        <w:t xml:space="preserve">"Anziani e disabili: un nuovo modello di assistenza" </w:t>
      </w:r>
      <w:r w:rsidR="00616149" w:rsidRPr="00CF6000">
        <w:rPr>
          <w:color w:val="1D2228"/>
        </w:rPr>
        <w:t>realizzat</w:t>
      </w:r>
      <w:r w:rsidR="00876ABD" w:rsidRPr="00CF6000">
        <w:rPr>
          <w:color w:val="1D2228"/>
        </w:rPr>
        <w:t>o</w:t>
      </w:r>
      <w:r w:rsidR="00616149" w:rsidRPr="00CF6000">
        <w:rPr>
          <w:color w:val="1D2228"/>
        </w:rPr>
        <w:t xml:space="preserve"> </w:t>
      </w:r>
      <w:r w:rsidRPr="00CF6000">
        <w:rPr>
          <w:color w:val="1D2228"/>
        </w:rPr>
        <w:t>d</w:t>
      </w:r>
      <w:r w:rsidR="00290A5B" w:rsidRPr="00CF6000">
        <w:rPr>
          <w:color w:val="1D2228"/>
        </w:rPr>
        <w:t>a</w:t>
      </w:r>
      <w:r w:rsidRPr="00CF6000">
        <w:rPr>
          <w:color w:val="1D2228"/>
        </w:rPr>
        <w:t>lla Fondazione per la Sussidiarietà (FPS)</w:t>
      </w:r>
      <w:r w:rsidR="003F342E" w:rsidRPr="00CF6000">
        <w:rPr>
          <w:color w:val="1D2228"/>
        </w:rPr>
        <w:t xml:space="preserve">, </w:t>
      </w:r>
      <w:r w:rsidR="00292EBC" w:rsidRPr="00CF6000">
        <w:rPr>
          <w:color w:val="1D2228"/>
        </w:rPr>
        <w:t xml:space="preserve">in collaborazione con </w:t>
      </w:r>
      <w:proofErr w:type="spellStart"/>
      <w:r w:rsidR="003F342E" w:rsidRPr="00CF6000">
        <w:rPr>
          <w:color w:val="1D2228"/>
        </w:rPr>
        <w:t>Cesc</w:t>
      </w:r>
      <w:proofErr w:type="spellEnd"/>
      <w:r w:rsidR="003F342E" w:rsidRPr="00CF6000">
        <w:rPr>
          <w:color w:val="1D2228"/>
        </w:rPr>
        <w:t xml:space="preserve"> - Università degli studi di Bergamo, </w:t>
      </w:r>
      <w:proofErr w:type="spellStart"/>
      <w:r w:rsidR="003F342E" w:rsidRPr="00CF6000">
        <w:rPr>
          <w:color w:val="1D2228"/>
        </w:rPr>
        <w:t>Crisp</w:t>
      </w:r>
      <w:proofErr w:type="spellEnd"/>
      <w:r w:rsidR="003F342E" w:rsidRPr="00CF6000">
        <w:rPr>
          <w:color w:val="1D2228"/>
        </w:rPr>
        <w:t xml:space="preserve"> – Università degli studi di Milano, Politecnico di Milano e Università degli studi di Parma</w:t>
      </w:r>
      <w:r w:rsidR="00CE7CA6" w:rsidRPr="00CF6000">
        <w:rPr>
          <w:color w:val="1D2228"/>
        </w:rPr>
        <w:t xml:space="preserve"> e</w:t>
      </w:r>
      <w:r w:rsidR="003F342E" w:rsidRPr="00CF6000">
        <w:rPr>
          <w:color w:val="1D2228"/>
        </w:rPr>
        <w:t xml:space="preserve"> </w:t>
      </w:r>
      <w:r w:rsidR="00292EBC" w:rsidRPr="00CF6000">
        <w:rPr>
          <w:color w:val="1D2228"/>
        </w:rPr>
        <w:t xml:space="preserve">con la partecipazione di </w:t>
      </w:r>
      <w:r w:rsidR="003F342E" w:rsidRPr="00CF6000">
        <w:rPr>
          <w:color w:val="1D2228"/>
        </w:rPr>
        <w:t>Fondazione Don Gnocchi e Fondazione Sacra Famiglia</w:t>
      </w:r>
      <w:r w:rsidR="00A47D33" w:rsidRPr="00CF6000">
        <w:rPr>
          <w:color w:val="1D2228"/>
        </w:rPr>
        <w:t>.</w:t>
      </w:r>
    </w:p>
    <w:p w14:paraId="5C7181C3" w14:textId="77777777" w:rsidR="00F117D3" w:rsidRPr="00CF6000" w:rsidRDefault="00F117D3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098BEEAC" w14:textId="77777777" w:rsidR="002C4D49" w:rsidRPr="00CF6000" w:rsidRDefault="00F117D3" w:rsidP="002C4D4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F6000">
        <w:rPr>
          <w:color w:val="1D2228"/>
        </w:rPr>
        <w:t xml:space="preserve">Lo studio </w:t>
      </w:r>
      <w:r w:rsidR="006129D4" w:rsidRPr="00CF6000">
        <w:rPr>
          <w:color w:val="1D2228"/>
        </w:rPr>
        <w:t xml:space="preserve">evidenzia </w:t>
      </w:r>
      <w:r w:rsidRPr="00CF6000">
        <w:rPr>
          <w:color w:val="1D2228"/>
        </w:rPr>
        <w:t>il ruolo chiave del no</w:t>
      </w:r>
      <w:r w:rsidR="00B43BC1" w:rsidRPr="00CF6000">
        <w:rPr>
          <w:color w:val="1D2228"/>
        </w:rPr>
        <w:t>n</w:t>
      </w:r>
      <w:r w:rsidRPr="00CF6000">
        <w:rPr>
          <w:color w:val="1D2228"/>
        </w:rPr>
        <w:t xml:space="preserve"> profit che copre metà dell’offerta di posti letto </w:t>
      </w:r>
      <w:r w:rsidR="0094425E" w:rsidRPr="00CF6000">
        <w:rPr>
          <w:color w:val="1D2228"/>
        </w:rPr>
        <w:t xml:space="preserve">per anziani e disabili </w:t>
      </w:r>
      <w:r w:rsidRPr="00CF6000">
        <w:rPr>
          <w:color w:val="1D2228"/>
        </w:rPr>
        <w:t xml:space="preserve">(49%), rispetto al 42% di </w:t>
      </w:r>
      <w:r w:rsidR="003414F2" w:rsidRPr="00CF6000">
        <w:rPr>
          <w:color w:val="1D2228"/>
        </w:rPr>
        <w:t xml:space="preserve">10 </w:t>
      </w:r>
      <w:r w:rsidRPr="00CF6000">
        <w:rPr>
          <w:color w:val="1D2228"/>
        </w:rPr>
        <w:t xml:space="preserve">anni fa. </w:t>
      </w:r>
      <w:r w:rsidR="003414F2" w:rsidRPr="00CF6000">
        <w:rPr>
          <w:color w:val="1D2228"/>
        </w:rPr>
        <w:t xml:space="preserve">Cresce </w:t>
      </w:r>
      <w:r w:rsidRPr="00CF6000">
        <w:rPr>
          <w:color w:val="1D2228"/>
        </w:rPr>
        <w:t>anche il privato, ora al 26%, mentre il settore pubblico è sceso dal 30% al 25%.</w:t>
      </w:r>
      <w:r w:rsidR="0003425D" w:rsidRPr="00CF6000">
        <w:rPr>
          <w:color w:val="1D2228"/>
        </w:rPr>
        <w:t xml:space="preserve"> </w:t>
      </w:r>
      <w:r w:rsidR="002C4D49" w:rsidRPr="00CF6000">
        <w:rPr>
          <w:color w:val="1D2228"/>
        </w:rPr>
        <w:t xml:space="preserve">La ricerca segnala la necessità di istituire un Servizio </w:t>
      </w:r>
      <w:r w:rsidR="006129D4" w:rsidRPr="00CF6000">
        <w:rPr>
          <w:color w:val="1D2228"/>
        </w:rPr>
        <w:t xml:space="preserve">nazionale per la non autosufficienza </w:t>
      </w:r>
      <w:r w:rsidR="002C4D49" w:rsidRPr="00CF6000">
        <w:rPr>
          <w:color w:val="1D2228"/>
        </w:rPr>
        <w:t>che superi l'attuale fram</w:t>
      </w:r>
      <w:r w:rsidR="002C4D49" w:rsidRPr="00CF6000">
        <w:rPr>
          <w:color w:val="1D2228"/>
        </w:rPr>
        <w:softHyphen/>
        <w:t>mentazione degli interventi. Un sistema integrato, con un fondo nazionale e un unico canale di accesso.</w:t>
      </w:r>
    </w:p>
    <w:p w14:paraId="584FE997" w14:textId="77777777" w:rsidR="002C4D49" w:rsidRPr="00CB16D0" w:rsidRDefault="002C4D49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0CC12D09" w14:textId="77777777" w:rsidR="00CD7BC3" w:rsidRPr="00CB16D0" w:rsidRDefault="00CD7BC3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"L’attenzione del Governo Draghi e del Ministero della Salute </w:t>
      </w:r>
      <w:r w:rsidR="006129D4" w:rsidRPr="00CB16D0">
        <w:rPr>
          <w:color w:val="1D2228"/>
        </w:rPr>
        <w:t xml:space="preserve">verso </w:t>
      </w:r>
      <w:r w:rsidRPr="00CB16D0">
        <w:rPr>
          <w:color w:val="1D2228"/>
        </w:rPr>
        <w:t xml:space="preserve">i bisogni </w:t>
      </w:r>
      <w:r w:rsidR="008B7E0C" w:rsidRPr="00CB16D0">
        <w:rPr>
          <w:color w:val="1D2228"/>
        </w:rPr>
        <w:t xml:space="preserve">di </w:t>
      </w:r>
      <w:r w:rsidRPr="00CB16D0">
        <w:rPr>
          <w:color w:val="1D2228"/>
        </w:rPr>
        <w:t xml:space="preserve">anziani e </w:t>
      </w:r>
      <w:r w:rsidR="008B7E0C" w:rsidRPr="00CB16D0">
        <w:rPr>
          <w:color w:val="1D2228"/>
        </w:rPr>
        <w:t xml:space="preserve">disabili </w:t>
      </w:r>
      <w:r w:rsidRPr="00CB16D0">
        <w:rPr>
          <w:color w:val="1D2228"/>
        </w:rPr>
        <w:t xml:space="preserve">è alta e costante, in particolar modo durante questa emergenza sanitaria ed economica", </w:t>
      </w:r>
      <w:r w:rsidR="00290A5B" w:rsidRPr="00CB16D0">
        <w:rPr>
          <w:color w:val="1D2228"/>
        </w:rPr>
        <w:t xml:space="preserve">afferma </w:t>
      </w:r>
      <w:r w:rsidRPr="005A322F">
        <w:rPr>
          <w:color w:val="1D2228"/>
        </w:rPr>
        <w:t>Andrea Costa, Sottosegretario di Stato alla Salute</w:t>
      </w:r>
      <w:r w:rsidRPr="00CB16D0">
        <w:rPr>
          <w:color w:val="1D2228"/>
        </w:rPr>
        <w:t xml:space="preserve">, "Insieme con il Generale Figliuolo, nell’organizzazione della campagna vaccinale prima e con la terza dose poi, abbiamo inserito </w:t>
      </w:r>
      <w:r w:rsidR="008B7E0C" w:rsidRPr="00CB16D0">
        <w:rPr>
          <w:color w:val="1D2228"/>
        </w:rPr>
        <w:t xml:space="preserve">questi </w:t>
      </w:r>
      <w:r w:rsidRPr="00CB16D0">
        <w:rPr>
          <w:color w:val="1D2228"/>
        </w:rPr>
        <w:t xml:space="preserve">soggetti </w:t>
      </w:r>
      <w:r w:rsidR="008B7E0C" w:rsidRPr="00CB16D0">
        <w:rPr>
          <w:color w:val="1D2228"/>
        </w:rPr>
        <w:t xml:space="preserve">fra </w:t>
      </w:r>
      <w:r w:rsidRPr="00CB16D0">
        <w:rPr>
          <w:color w:val="1D2228"/>
        </w:rPr>
        <w:t xml:space="preserve">le categorie prioritarie da proteggere e tutelare. Mi sono fortemente battuto per permettere ai parenti </w:t>
      </w:r>
      <w:r w:rsidR="008B7E0C" w:rsidRPr="00CB16D0">
        <w:rPr>
          <w:color w:val="1D2228"/>
        </w:rPr>
        <w:t xml:space="preserve">di </w:t>
      </w:r>
      <w:r w:rsidRPr="00CB16D0">
        <w:rPr>
          <w:color w:val="1D2228"/>
        </w:rPr>
        <w:t xml:space="preserve">ospiti </w:t>
      </w:r>
      <w:r w:rsidR="008B7E0C" w:rsidRPr="00CB16D0">
        <w:rPr>
          <w:color w:val="1D2228"/>
        </w:rPr>
        <w:t>d</w:t>
      </w:r>
      <w:r w:rsidRPr="00CB16D0">
        <w:rPr>
          <w:color w:val="1D2228"/>
        </w:rPr>
        <w:t xml:space="preserve">elle </w:t>
      </w:r>
      <w:proofErr w:type="spellStart"/>
      <w:r w:rsidRPr="00CB16D0">
        <w:rPr>
          <w:color w:val="1D2228"/>
        </w:rPr>
        <w:t>Rsa</w:t>
      </w:r>
      <w:proofErr w:type="spellEnd"/>
      <w:r w:rsidRPr="00CB16D0">
        <w:rPr>
          <w:color w:val="1D2228"/>
        </w:rPr>
        <w:t xml:space="preserve"> di tornare a salutare e abbracciare i propri cari nelle strutture, consapevole che l’affetto di un famigliare sia la miglior</w:t>
      </w:r>
      <w:r w:rsidR="008B7E0C" w:rsidRPr="00CB16D0">
        <w:rPr>
          <w:color w:val="1D2228"/>
        </w:rPr>
        <w:t>e</w:t>
      </w:r>
      <w:r w:rsidRPr="00CB16D0">
        <w:rPr>
          <w:color w:val="1D2228"/>
        </w:rPr>
        <w:t xml:space="preserve"> </w:t>
      </w:r>
      <w:r w:rsidR="008B7E0C" w:rsidRPr="00CB16D0">
        <w:rPr>
          <w:color w:val="1D2228"/>
        </w:rPr>
        <w:t>cura</w:t>
      </w:r>
      <w:r w:rsidRPr="00CB16D0">
        <w:rPr>
          <w:color w:val="1D2228"/>
        </w:rPr>
        <w:t>".</w:t>
      </w:r>
    </w:p>
    <w:p w14:paraId="69E96A50" w14:textId="77777777" w:rsidR="004C797B" w:rsidRDefault="004C797B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3AA07A2C" w14:textId="77777777" w:rsidR="00CD7BC3" w:rsidRPr="00CB16D0" w:rsidRDefault="00CD7BC3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"La conferenza Stato-Regioni", ha poi annunciato Costa, "ha </w:t>
      </w:r>
      <w:r w:rsidR="00F23D05" w:rsidRPr="00CB16D0">
        <w:rPr>
          <w:color w:val="1D2228"/>
        </w:rPr>
        <w:t xml:space="preserve">appena </w:t>
      </w:r>
      <w:r w:rsidRPr="00CB16D0">
        <w:rPr>
          <w:color w:val="1D2228"/>
        </w:rPr>
        <w:t xml:space="preserve">deliberato un incremento di 20 milioni del ‘Fondo per l’assistenza alle persone con disabilità grave prive del sostegno familiare’. Molti però sono i passi ancora da compiere: il </w:t>
      </w:r>
      <w:proofErr w:type="spellStart"/>
      <w:r w:rsidRPr="00CB16D0">
        <w:rPr>
          <w:color w:val="1D2228"/>
        </w:rPr>
        <w:t>Pnrr</w:t>
      </w:r>
      <w:proofErr w:type="spellEnd"/>
      <w:r w:rsidRPr="00CB16D0">
        <w:rPr>
          <w:color w:val="1D2228"/>
        </w:rPr>
        <w:t xml:space="preserve"> sarà l’occasione, che non possiamo perdere, per investire sulla prossimità e sull’assistenza domiciliare. Sarà necessario rafforzare i servizi sociali territoriali, promuovendo una collaborazione sinergica, un’integrazione strutturata, tra associazioni del terzo settore e il Servizio Sanitario Nazionale. Va consolidata questa rete di solidarietà che conosce le problematiche dei diversi territori e sa come intervenire efficacemente per rispondere ai bisogni della popolazione fragile".</w:t>
      </w:r>
    </w:p>
    <w:p w14:paraId="397BAE2B" w14:textId="77777777" w:rsidR="006129D4" w:rsidRPr="00CB16D0" w:rsidRDefault="006129D4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58D58CB3" w14:textId="77777777" w:rsidR="00F23D05" w:rsidRPr="00CB16D0" w:rsidRDefault="00F23D05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color w:val="1D2228"/>
        </w:rPr>
      </w:pPr>
      <w:r w:rsidRPr="00CB16D0">
        <w:rPr>
          <w:b/>
          <w:color w:val="1D2228"/>
        </w:rPr>
        <w:t>La Penisola con i capelli bianchi</w:t>
      </w:r>
    </w:p>
    <w:p w14:paraId="13838A25" w14:textId="77777777" w:rsidR="00F23D05" w:rsidRPr="00CB16D0" w:rsidRDefault="00F23D05" w:rsidP="006129D4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38575C1F" w14:textId="77777777" w:rsidR="00A63B7F" w:rsidRPr="00CB16D0" w:rsidRDefault="00A63B7F" w:rsidP="00A63B7F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>Con 13,8 milioni di anziani, la Penisola ha uno dei livelli più elevati al mondo di popolazione con oltre 65 anni, circa il 23% (20% nell'Unione Europea). Una quota destinata a salire in futuro</w:t>
      </w:r>
      <w:r w:rsidR="00F23D05" w:rsidRPr="00CB16D0">
        <w:rPr>
          <w:color w:val="1D2228"/>
        </w:rPr>
        <w:t>, prevede il Rapporto</w:t>
      </w:r>
      <w:r w:rsidR="00CB16D0" w:rsidRPr="00CB16D0">
        <w:rPr>
          <w:color w:val="1D2228"/>
        </w:rPr>
        <w:t xml:space="preserve"> FPS</w:t>
      </w:r>
      <w:r w:rsidRPr="00CB16D0">
        <w:rPr>
          <w:color w:val="1D2228"/>
        </w:rPr>
        <w:t>. I disabili con gravi limitazioni nelle attività abituali sono circa 3 milioni e 100 mila, il 5,2% della popolazione.</w:t>
      </w:r>
    </w:p>
    <w:p w14:paraId="0A75F153" w14:textId="77777777" w:rsidR="003B7BAF" w:rsidRDefault="003B7BAF" w:rsidP="00290A5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69B7AB62" w14:textId="77777777" w:rsidR="00290A5B" w:rsidRPr="00CB16D0" w:rsidRDefault="00290A5B" w:rsidP="00290A5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La spesa per il "long </w:t>
      </w:r>
      <w:proofErr w:type="spellStart"/>
      <w:r w:rsidRPr="00CB16D0">
        <w:rPr>
          <w:color w:val="1D2228"/>
        </w:rPr>
        <w:t>term</w:t>
      </w:r>
      <w:proofErr w:type="spellEnd"/>
      <w:r w:rsidRPr="00CB16D0">
        <w:rPr>
          <w:color w:val="1D2228"/>
        </w:rPr>
        <w:t xml:space="preserve"> care" (LTC) è in Italia circa lo 0,7% del prodotto interno lordo, la metà rispetto ai paesi Ocse (1,5%), e molto inferiore rispetto ai maggiori partner europei, come Francia (2,4%), Gran Bretagna (2,4%) e Germania (2,2%).</w:t>
      </w:r>
    </w:p>
    <w:p w14:paraId="4636AB36" w14:textId="77777777" w:rsidR="00290A5B" w:rsidRPr="00CB16D0" w:rsidRDefault="00290A5B" w:rsidP="00290A5B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Gli interventi per il supporto ai disabili rappresentano circa l'1,8% del prodotto interno lordo del Belpaese, contro la media del 2,0% nell'Ocse. In questo caso siamo in linea con Francia (1,7%) e Gran Bretagna (1,9%), ma </w:t>
      </w:r>
      <w:r w:rsidRPr="00CB16D0">
        <w:t>lontani dalla</w:t>
      </w:r>
      <w:r w:rsidRPr="00CB16D0">
        <w:rPr>
          <w:color w:val="1D2228"/>
        </w:rPr>
        <w:t> Germania (2,3%).</w:t>
      </w:r>
    </w:p>
    <w:p w14:paraId="3A5323F0" w14:textId="77777777" w:rsidR="00CD7BC3" w:rsidRDefault="00CD7BC3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296888E" w14:textId="77777777" w:rsidR="003B7BAF" w:rsidRPr="00CB16D0" w:rsidRDefault="003B7BAF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04016550" w14:textId="77777777" w:rsidR="00D61FEA" w:rsidRPr="00CB16D0" w:rsidRDefault="00D61FEA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color w:val="1D2228"/>
        </w:rPr>
      </w:pPr>
      <w:r w:rsidRPr="00CB16D0">
        <w:rPr>
          <w:b/>
          <w:color w:val="1D2228"/>
        </w:rPr>
        <w:lastRenderedPageBreak/>
        <w:t>Un sistema da ripensare</w:t>
      </w:r>
    </w:p>
    <w:p w14:paraId="44986A9B" w14:textId="77777777" w:rsidR="00D61FEA" w:rsidRPr="00CB16D0" w:rsidRDefault="00D61FEA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63E8D28" w14:textId="77777777" w:rsidR="00EA1848" w:rsidRPr="00CB16D0" w:rsidRDefault="00876ABD" w:rsidP="00E102B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>Questo scenario pone sfide cruciali che richiedono maggiori risorse e una riorganizzazione delle attività.</w:t>
      </w:r>
      <w:r w:rsidR="00EA1848" w:rsidRPr="00CB16D0">
        <w:rPr>
          <w:color w:val="1D2228"/>
        </w:rPr>
        <w:t xml:space="preserve"> Il sistema va ripensato mettendo in rete i servizi, valorizzando il ruolo dei medici di base e del volontariato.</w:t>
      </w:r>
      <w:r w:rsidR="006E68B7">
        <w:rPr>
          <w:color w:val="1D2228"/>
        </w:rPr>
        <w:t xml:space="preserve"> </w:t>
      </w:r>
      <w:r w:rsidR="00EA1848" w:rsidRPr="00CB16D0">
        <w:rPr>
          <w:color w:val="1D2228"/>
        </w:rPr>
        <w:t xml:space="preserve">Bisogna </w:t>
      </w:r>
      <w:r w:rsidR="00E102BC" w:rsidRPr="00CB16D0">
        <w:rPr>
          <w:color w:val="1D2228"/>
        </w:rPr>
        <w:t>rafforzare l’assistenza domiciliare</w:t>
      </w:r>
      <w:r w:rsidR="00BF5EEF" w:rsidRPr="00CB16D0">
        <w:rPr>
          <w:color w:val="1D2228"/>
        </w:rPr>
        <w:t xml:space="preserve"> e nel contempo rendere le residenze </w:t>
      </w:r>
      <w:r w:rsidR="00E102BC" w:rsidRPr="00CB16D0">
        <w:rPr>
          <w:color w:val="1D2228"/>
        </w:rPr>
        <w:t xml:space="preserve">(RSA) </w:t>
      </w:r>
      <w:proofErr w:type="gramStart"/>
      <w:r w:rsidR="00E102BC" w:rsidRPr="00CB16D0">
        <w:rPr>
          <w:color w:val="1D2228"/>
        </w:rPr>
        <w:t>luoghi  più</w:t>
      </w:r>
      <w:proofErr w:type="gramEnd"/>
      <w:r w:rsidR="00E102BC" w:rsidRPr="00CB16D0">
        <w:rPr>
          <w:color w:val="1D2228"/>
        </w:rPr>
        <w:t xml:space="preserve"> accoglienti. Occorrono strutture a bassa intensità di cura, ma anche ad alta intensità. </w:t>
      </w:r>
      <w:r w:rsidR="00EA1848" w:rsidRPr="00CB16D0">
        <w:rPr>
          <w:color w:val="1D2228"/>
        </w:rPr>
        <w:t xml:space="preserve"> È necessario integrare </w:t>
      </w:r>
      <w:r w:rsidR="00E102BC" w:rsidRPr="00CB16D0">
        <w:rPr>
          <w:color w:val="1D2228"/>
        </w:rPr>
        <w:t>i servizi territoriali con l’assistenza sanitaria e superare la loro frammentarietà e standardizzazione.</w:t>
      </w:r>
    </w:p>
    <w:p w14:paraId="48BA10FF" w14:textId="77777777" w:rsidR="00045508" w:rsidRPr="00CB16D0" w:rsidRDefault="00045508" w:rsidP="00CE7CA6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52ADBD5" w14:textId="77777777" w:rsidR="00E102BC" w:rsidRPr="00CB16D0" w:rsidRDefault="00EA1848" w:rsidP="00E102BC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Osservando </w:t>
      </w:r>
      <w:r w:rsidR="00E102BC" w:rsidRPr="00CB16D0">
        <w:rPr>
          <w:color w:val="1D2228"/>
        </w:rPr>
        <w:t xml:space="preserve">l’offerta - rileva il rapporto </w:t>
      </w:r>
      <w:r w:rsidRPr="00CB16D0">
        <w:rPr>
          <w:color w:val="1D2228"/>
        </w:rPr>
        <w:t xml:space="preserve">FPS </w:t>
      </w:r>
      <w:r w:rsidR="00E102BC" w:rsidRPr="00CB16D0">
        <w:rPr>
          <w:color w:val="1D2228"/>
        </w:rPr>
        <w:t xml:space="preserve">- </w:t>
      </w:r>
      <w:r w:rsidRPr="00CB16D0">
        <w:rPr>
          <w:color w:val="1D2228"/>
        </w:rPr>
        <w:t xml:space="preserve">bisogna </w:t>
      </w:r>
      <w:r w:rsidR="00E102BC" w:rsidRPr="00CB16D0">
        <w:rPr>
          <w:color w:val="1D2228"/>
        </w:rPr>
        <w:t xml:space="preserve">superare i pregiudizi </w:t>
      </w:r>
      <w:r w:rsidRPr="00CB16D0">
        <w:rPr>
          <w:color w:val="1D2228"/>
        </w:rPr>
        <w:t xml:space="preserve">sulla </w:t>
      </w:r>
      <w:r w:rsidR="00E102BC" w:rsidRPr="00CB16D0">
        <w:rPr>
          <w:color w:val="1D2228"/>
        </w:rPr>
        <w:t xml:space="preserve">natura degli enti (pubblico / privato / non profit) per concentrarsi invece sulla valutazione </w:t>
      </w:r>
      <w:r w:rsidRPr="00CB16D0">
        <w:rPr>
          <w:color w:val="1D2228"/>
        </w:rPr>
        <w:t xml:space="preserve">di </w:t>
      </w:r>
      <w:r w:rsidR="00E102BC" w:rsidRPr="00CB16D0">
        <w:rPr>
          <w:color w:val="1D2228"/>
        </w:rPr>
        <w:t>qualità</w:t>
      </w:r>
      <w:r w:rsidRPr="00CB16D0">
        <w:rPr>
          <w:color w:val="1D2228"/>
        </w:rPr>
        <w:t xml:space="preserve">, </w:t>
      </w:r>
      <w:r w:rsidR="00E102BC" w:rsidRPr="00CB16D0">
        <w:rPr>
          <w:color w:val="1D2228"/>
        </w:rPr>
        <w:t>efficacia ed efficienza</w:t>
      </w:r>
      <w:r w:rsidRPr="00CB16D0">
        <w:rPr>
          <w:color w:val="1D2228"/>
        </w:rPr>
        <w:t xml:space="preserve"> del servizio</w:t>
      </w:r>
      <w:r w:rsidR="00E102BC" w:rsidRPr="00CB16D0">
        <w:rPr>
          <w:color w:val="1D2228"/>
        </w:rPr>
        <w:t xml:space="preserve">. Va perciò coinvolto chi opera sul campo e </w:t>
      </w:r>
      <w:r w:rsidRPr="00CB16D0">
        <w:rPr>
          <w:color w:val="1D2228"/>
        </w:rPr>
        <w:t xml:space="preserve">offre </w:t>
      </w:r>
      <w:r w:rsidR="00E102BC" w:rsidRPr="00CB16D0">
        <w:rPr>
          <w:color w:val="1D2228"/>
        </w:rPr>
        <w:t>un contributo essenziale nel ridisegnare i modelli di cura.</w:t>
      </w:r>
    </w:p>
    <w:p w14:paraId="78404202" w14:textId="77777777" w:rsidR="00EA1848" w:rsidRPr="00CB16D0" w:rsidRDefault="00EA1848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54313971" w14:textId="77777777" w:rsidR="00F117D3" w:rsidRPr="00CB16D0" w:rsidRDefault="004C531D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color w:val="1D2228"/>
        </w:rPr>
      </w:pPr>
      <w:r w:rsidRPr="00CB16D0">
        <w:rPr>
          <w:b/>
          <w:color w:val="1D2228"/>
        </w:rPr>
        <w:t xml:space="preserve">Il </w:t>
      </w:r>
      <w:r w:rsidR="00EA1848" w:rsidRPr="00CB16D0">
        <w:rPr>
          <w:b/>
          <w:color w:val="1D2228"/>
        </w:rPr>
        <w:t xml:space="preserve">valore del </w:t>
      </w:r>
      <w:r w:rsidR="00F20359" w:rsidRPr="00CB16D0">
        <w:rPr>
          <w:b/>
          <w:color w:val="1D2228"/>
        </w:rPr>
        <w:t>non profit</w:t>
      </w:r>
    </w:p>
    <w:p w14:paraId="7F75817C" w14:textId="77777777" w:rsidR="00D61FEA" w:rsidRPr="00CB16D0" w:rsidRDefault="00D61FEA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59F55F4B" w14:textId="77777777" w:rsidR="00F117D3" w:rsidRPr="00CB16D0" w:rsidRDefault="00F117D3" w:rsidP="00F117D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“La pandemia ha </w:t>
      </w:r>
      <w:r w:rsidR="00786563" w:rsidRPr="00CB16D0">
        <w:rPr>
          <w:color w:val="1D2228"/>
        </w:rPr>
        <w:t xml:space="preserve">acuito </w:t>
      </w:r>
      <w:r w:rsidR="00BB36C2" w:rsidRPr="00CB16D0">
        <w:rPr>
          <w:color w:val="1D2228"/>
        </w:rPr>
        <w:t xml:space="preserve">i </w:t>
      </w:r>
      <w:r w:rsidRPr="00CB16D0">
        <w:rPr>
          <w:color w:val="1D2228"/>
        </w:rPr>
        <w:t xml:space="preserve">problemi nell’assistenza ad anziani e disabili presenti da tempo”, osserva Giorgio Vittadini, Presidente della Fondazione per la Sussidiarietà, “L’articolazione territoriale dei servizi assistenziali e sanitari va riformata perché i bisogni aumentano e si differenziano e le possibilità di cura si ampliano. Monitorare la qualità </w:t>
      </w:r>
      <w:r w:rsidR="00786563" w:rsidRPr="00CB16D0">
        <w:rPr>
          <w:color w:val="1D2228"/>
        </w:rPr>
        <w:t xml:space="preserve">dei </w:t>
      </w:r>
      <w:r w:rsidRPr="00CB16D0">
        <w:rPr>
          <w:color w:val="1D2228"/>
        </w:rPr>
        <w:t xml:space="preserve">servizi significa assicurare quel welfare universalistico, frutto di battaglie e sacrifici per una società più </w:t>
      </w:r>
      <w:r w:rsidR="00786563" w:rsidRPr="00CB16D0">
        <w:rPr>
          <w:color w:val="1D2228"/>
        </w:rPr>
        <w:t>equa e sussidiaria</w:t>
      </w:r>
      <w:r w:rsidRPr="00CB16D0">
        <w:rPr>
          <w:color w:val="1D2228"/>
        </w:rPr>
        <w:t>”.</w:t>
      </w:r>
    </w:p>
    <w:p w14:paraId="355593CB" w14:textId="77777777" w:rsidR="00F51710" w:rsidRPr="00CB16D0" w:rsidRDefault="00F51710" w:rsidP="00F51710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F139A87" w14:textId="77777777" w:rsidR="00F51710" w:rsidRPr="00CB16D0" w:rsidRDefault="00F51710" w:rsidP="00F51710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>"Gli scenari che la statistica va delineando, sottolineano il rapido incremento della popolazione anziana e mostrano come ciò sia affiancato da un progressivo indebolimento delle reti familiari", rileva Gian</w:t>
      </w:r>
      <w:r w:rsidR="0015405B" w:rsidRPr="00CB16D0">
        <w:rPr>
          <w:color w:val="1D2228"/>
        </w:rPr>
        <w:t xml:space="preserve"> C</w:t>
      </w:r>
      <w:r w:rsidRPr="00CB16D0">
        <w:rPr>
          <w:color w:val="1D2228"/>
        </w:rPr>
        <w:t xml:space="preserve">arlo </w:t>
      </w:r>
      <w:proofErr w:type="spellStart"/>
      <w:r w:rsidRPr="00CB16D0">
        <w:rPr>
          <w:color w:val="1D2228"/>
        </w:rPr>
        <w:t>Bangiardo</w:t>
      </w:r>
      <w:proofErr w:type="spellEnd"/>
      <w:r w:rsidRPr="00CB16D0">
        <w:rPr>
          <w:color w:val="1D2228"/>
        </w:rPr>
        <w:t>, presidente Istat, "La figura dell’anziano solo, che necessita di assistenza esterna alla rete familiare, rischia di accreditarsi sempre più nell’Italia dei prossimi decenni".</w:t>
      </w:r>
    </w:p>
    <w:p w14:paraId="1E1C0755" w14:textId="77777777" w:rsidR="00F51710" w:rsidRPr="00CB16D0" w:rsidRDefault="00F51710" w:rsidP="00D61FE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34521D00" w14:textId="77777777" w:rsidR="00D61FEA" w:rsidRPr="00CB16D0" w:rsidRDefault="00D61FEA" w:rsidP="00D61FE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“Il rapporto", </w:t>
      </w:r>
      <w:r w:rsidR="008C330C">
        <w:rPr>
          <w:color w:val="1D2228"/>
        </w:rPr>
        <w:t xml:space="preserve">sottolinea </w:t>
      </w:r>
      <w:r w:rsidR="00D90823" w:rsidRPr="00CB16D0">
        <w:rPr>
          <w:color w:val="1D2228"/>
        </w:rPr>
        <w:t>Don Vincenzo Barbante, presidente Fondazione don Carlo Gnocchi Onlus, "</w:t>
      </w:r>
      <w:r w:rsidRPr="00CB16D0">
        <w:rPr>
          <w:color w:val="1D2228"/>
        </w:rPr>
        <w:t>ci invita a considerare l’importante contributo offerto in ambito socio</w:t>
      </w:r>
      <w:r w:rsidR="00A47D33" w:rsidRPr="00CB16D0">
        <w:rPr>
          <w:color w:val="1D2228"/>
        </w:rPr>
        <w:t>-</w:t>
      </w:r>
      <w:r w:rsidRPr="00CB16D0">
        <w:rPr>
          <w:color w:val="1D2228"/>
        </w:rPr>
        <w:t>sanitario dal mondo non profit di ispirazione cristiana. Un mondo che, nel disegnare i futuri scenari di un’assistenza capace di rispondere ai bisogni di cura, attende di essere valorizzato per l’esperienza e i servizi che può offrire al Paese in un rinnovato spirito di sussidiarietà.”</w:t>
      </w:r>
    </w:p>
    <w:p w14:paraId="4D2F49AA" w14:textId="77777777" w:rsidR="00D61FEA" w:rsidRPr="00CB16D0" w:rsidRDefault="00D61FEA" w:rsidP="00D61FE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A29CF3C" w14:textId="77777777" w:rsidR="00D61FEA" w:rsidRPr="00CB16D0" w:rsidRDefault="00D61FEA" w:rsidP="00D61FE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“Crediamo sia </w:t>
      </w:r>
      <w:r w:rsidR="00D90823" w:rsidRPr="00CB16D0">
        <w:rPr>
          <w:color w:val="1D2228"/>
        </w:rPr>
        <w:t xml:space="preserve">oggi </w:t>
      </w:r>
      <w:r w:rsidRPr="00CB16D0">
        <w:rPr>
          <w:color w:val="1D2228"/>
        </w:rPr>
        <w:t>doveroso</w:t>
      </w:r>
      <w:r w:rsidR="00D90823" w:rsidRPr="00CB16D0">
        <w:rPr>
          <w:color w:val="1D2228"/>
        </w:rPr>
        <w:t>", osserva Don Marco Bove, presidente di Fondazione Sacra Famiglia Onlus, "</w:t>
      </w:r>
      <w:r w:rsidRPr="00CB16D0">
        <w:rPr>
          <w:color w:val="1D2228"/>
        </w:rPr>
        <w:t>passare da un modello di assistenza basato sull’offerta a un orientamento integrato basato sulla domanda, sui veri bisogni delle persone fragili - anziani e disabili - anche se complessi. Organizzazioni non profit come la nostra, da 125 anni fanno della risposta ai bisogni la loro missione, garantendo a tutti una presa in carico personalizzata, che pone al centro del percorso di cura la persona, la famiglia, la comunità.”</w:t>
      </w:r>
    </w:p>
    <w:p w14:paraId="20FFE76C" w14:textId="77777777" w:rsidR="00F117D3" w:rsidRPr="00CB16D0" w:rsidRDefault="00F117D3" w:rsidP="00D61FEA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145DDDAC" w14:textId="77777777" w:rsidR="00D90823" w:rsidRPr="00CB16D0" w:rsidRDefault="00D90823" w:rsidP="00D9082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"In Italia per l’assistenza ad anziani e disabili dobbiamo coniugare due principi", afferma Maurizio Lupi, </w:t>
      </w:r>
      <w:r w:rsidR="00582785" w:rsidRPr="00CB16D0">
        <w:rPr>
          <w:color w:val="1D2228"/>
        </w:rPr>
        <w:t>Presidente Intergruppo Parlamentare per la Sussidiarietà</w:t>
      </w:r>
      <w:r w:rsidRPr="00CB16D0">
        <w:rPr>
          <w:color w:val="1D2228"/>
        </w:rPr>
        <w:t>, "quello del welfare universalistico che contraddistingue il nostro Paese, e quello della valutazione dei risultati come criterio per l’erogazione di risorse. Non è più tempo di alternative ideologiche pubblico / privato, ricovero / cure domiciliari. Quello che conta è la qualità e l’efficacia del servizio, chiunque lo offra".</w:t>
      </w:r>
    </w:p>
    <w:p w14:paraId="700DD53D" w14:textId="77777777" w:rsidR="00D90823" w:rsidRPr="00CB16D0" w:rsidRDefault="00D90823" w:rsidP="00D90823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5DBA897B" w14:textId="77777777" w:rsidR="00B92329" w:rsidRDefault="00E102BC" w:rsidP="00B9232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CB16D0">
        <w:rPr>
          <w:color w:val="1D2228"/>
        </w:rPr>
        <w:t xml:space="preserve">Il </w:t>
      </w:r>
      <w:r w:rsidR="001846EE">
        <w:rPr>
          <w:color w:val="1D2228"/>
        </w:rPr>
        <w:t>R</w:t>
      </w:r>
      <w:r w:rsidRPr="00CB16D0">
        <w:rPr>
          <w:color w:val="1D2228"/>
        </w:rPr>
        <w:t xml:space="preserve">apporto è stato presentato </w:t>
      </w:r>
      <w:r w:rsidR="00CE7CA6" w:rsidRPr="00CB16D0">
        <w:rPr>
          <w:color w:val="1D2228"/>
        </w:rPr>
        <w:t xml:space="preserve">in un convegno presso il </w:t>
      </w:r>
      <w:proofErr w:type="spellStart"/>
      <w:r w:rsidR="00CE7CA6" w:rsidRPr="00CB16D0">
        <w:rPr>
          <w:color w:val="1D2228"/>
        </w:rPr>
        <w:t>MoMeC</w:t>
      </w:r>
      <w:proofErr w:type="spellEnd"/>
      <w:r w:rsidR="00CE7CA6" w:rsidRPr="00CB16D0">
        <w:rPr>
          <w:color w:val="1D2228"/>
        </w:rPr>
        <w:t>, Montecitorio Meeting Centre a Roma</w:t>
      </w:r>
      <w:r w:rsidR="00474D80">
        <w:rPr>
          <w:color w:val="1D2228"/>
        </w:rPr>
        <w:t xml:space="preserve"> con l'intervento di istituzioni, operatori ed esperti.</w:t>
      </w:r>
    </w:p>
    <w:p w14:paraId="58392B7E" w14:textId="4F596F94" w:rsidR="00E03BD3" w:rsidRDefault="00E03BD3" w:rsidP="00B9232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351A72E2" w14:textId="77777777" w:rsidR="005A069C" w:rsidRDefault="005A069C" w:rsidP="00B92329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1D2228"/>
        </w:rPr>
      </w:pPr>
    </w:p>
    <w:p w14:paraId="24466BA0" w14:textId="77777777" w:rsidR="00384AFE" w:rsidRPr="00CB16D0" w:rsidRDefault="00384AFE" w:rsidP="00B92329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CB16D0">
        <w:rPr>
          <w:b/>
        </w:rPr>
        <w:lastRenderedPageBreak/>
        <w:t>La scalata degli anziani</w:t>
      </w:r>
      <w:r w:rsidR="008E39BD" w:rsidRPr="00CB16D0">
        <w:rPr>
          <w:b/>
        </w:rPr>
        <w:t xml:space="preserve"> in Europa</w:t>
      </w:r>
    </w:p>
    <w:p w14:paraId="3C9B8D5A" w14:textId="77777777" w:rsidR="00384AFE" w:rsidRPr="00CB16D0" w:rsidRDefault="008E39BD" w:rsidP="00D51469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6D0">
        <w:rPr>
          <w:rFonts w:ascii="Times New Roman" w:hAnsi="Times New Roman" w:cs="Times New Roman"/>
          <w:i/>
          <w:sz w:val="24"/>
          <w:szCs w:val="24"/>
        </w:rPr>
        <w:t xml:space="preserve">Quota </w:t>
      </w:r>
      <w:r w:rsidR="00FF47A3" w:rsidRPr="00CB16D0">
        <w:rPr>
          <w:rFonts w:ascii="Times New Roman" w:hAnsi="Times New Roman" w:cs="Times New Roman"/>
          <w:i/>
          <w:sz w:val="24"/>
          <w:szCs w:val="24"/>
        </w:rPr>
        <w:t>%</w:t>
      </w:r>
      <w:r w:rsidRPr="00CB16D0">
        <w:rPr>
          <w:rFonts w:ascii="Times New Roman" w:hAnsi="Times New Roman" w:cs="Times New Roman"/>
          <w:i/>
          <w:sz w:val="24"/>
          <w:szCs w:val="24"/>
        </w:rPr>
        <w:t xml:space="preserve"> di over 65 sulla popolazione</w:t>
      </w:r>
    </w:p>
    <w:p w14:paraId="368A8053" w14:textId="77777777" w:rsidR="008E39BD" w:rsidRPr="00CB16D0" w:rsidRDefault="008E39BD" w:rsidP="00D51469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E39BD" w:rsidRPr="00CB16D0" w14:paraId="436C7844" w14:textId="77777777" w:rsidTr="008E39BD">
        <w:tc>
          <w:tcPr>
            <w:tcW w:w="3259" w:type="dxa"/>
          </w:tcPr>
          <w:p w14:paraId="7A69C6B1" w14:textId="77777777" w:rsidR="008E39BD" w:rsidRPr="00CB16D0" w:rsidRDefault="008E39BD" w:rsidP="00D51469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Paese</w:t>
            </w:r>
          </w:p>
        </w:tc>
        <w:tc>
          <w:tcPr>
            <w:tcW w:w="3259" w:type="dxa"/>
          </w:tcPr>
          <w:p w14:paraId="46F86CA3" w14:textId="77777777" w:rsidR="008E39BD" w:rsidRPr="00CB16D0" w:rsidRDefault="008E39BD" w:rsidP="00D51469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Quota %</w:t>
            </w:r>
          </w:p>
        </w:tc>
      </w:tr>
      <w:tr w:rsidR="008E39BD" w:rsidRPr="00CB16D0" w14:paraId="3F4B9DAD" w14:textId="77777777" w:rsidTr="008E39BD">
        <w:tc>
          <w:tcPr>
            <w:tcW w:w="3259" w:type="dxa"/>
          </w:tcPr>
          <w:p w14:paraId="334E9462" w14:textId="77777777" w:rsidR="008E39BD" w:rsidRPr="00CB16D0" w:rsidRDefault="008E39BD" w:rsidP="00D51469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Italia</w:t>
            </w:r>
          </w:p>
        </w:tc>
        <w:tc>
          <w:tcPr>
            <w:tcW w:w="3259" w:type="dxa"/>
          </w:tcPr>
          <w:p w14:paraId="689F389C" w14:textId="77777777" w:rsidR="008E39BD" w:rsidRPr="00CB16D0" w:rsidRDefault="008E39BD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FF47A3" w:rsidRPr="00CB16D0" w14:paraId="6E811E5E" w14:textId="77777777" w:rsidTr="00B65059">
        <w:tc>
          <w:tcPr>
            <w:tcW w:w="3259" w:type="dxa"/>
          </w:tcPr>
          <w:p w14:paraId="52ECC9FE" w14:textId="77777777" w:rsidR="00FF47A3" w:rsidRPr="00CB16D0" w:rsidRDefault="00FF47A3" w:rsidP="00B65059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Spagna</w:t>
            </w:r>
          </w:p>
        </w:tc>
        <w:tc>
          <w:tcPr>
            <w:tcW w:w="3259" w:type="dxa"/>
          </w:tcPr>
          <w:p w14:paraId="610DEE70" w14:textId="77777777" w:rsidR="00FF47A3" w:rsidRPr="00CB16D0" w:rsidRDefault="00FF47A3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8E39BD" w:rsidRPr="00CB16D0" w14:paraId="66619E0D" w14:textId="77777777" w:rsidTr="008E39BD">
        <w:tc>
          <w:tcPr>
            <w:tcW w:w="3259" w:type="dxa"/>
          </w:tcPr>
          <w:p w14:paraId="6A76FAA0" w14:textId="77777777" w:rsidR="008E39BD" w:rsidRPr="00CB16D0" w:rsidRDefault="008E39BD" w:rsidP="00D51469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Germania</w:t>
            </w:r>
          </w:p>
        </w:tc>
        <w:tc>
          <w:tcPr>
            <w:tcW w:w="3259" w:type="dxa"/>
          </w:tcPr>
          <w:p w14:paraId="7179BD57" w14:textId="77777777" w:rsidR="008E39BD" w:rsidRPr="00CB16D0" w:rsidRDefault="008E39BD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8E39BD" w:rsidRPr="00CB16D0" w14:paraId="095E7D43" w14:textId="77777777" w:rsidTr="008E39BD">
        <w:tc>
          <w:tcPr>
            <w:tcW w:w="3259" w:type="dxa"/>
          </w:tcPr>
          <w:p w14:paraId="49F944D8" w14:textId="77777777" w:rsidR="008E39BD" w:rsidRPr="00CB16D0" w:rsidRDefault="008E39BD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Unione Europea</w:t>
            </w:r>
          </w:p>
        </w:tc>
        <w:tc>
          <w:tcPr>
            <w:tcW w:w="3259" w:type="dxa"/>
          </w:tcPr>
          <w:p w14:paraId="7AD2F06D" w14:textId="77777777" w:rsidR="008E39BD" w:rsidRPr="00CB16D0" w:rsidRDefault="008E39BD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8E39BD" w:rsidRPr="00CB16D0" w14:paraId="37CFB361" w14:textId="77777777" w:rsidTr="008E39BD">
        <w:tc>
          <w:tcPr>
            <w:tcW w:w="3259" w:type="dxa"/>
          </w:tcPr>
          <w:p w14:paraId="08F829F7" w14:textId="77777777" w:rsidR="008E39BD" w:rsidRPr="00CB16D0" w:rsidRDefault="008E39BD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Francia</w:t>
            </w:r>
          </w:p>
        </w:tc>
        <w:tc>
          <w:tcPr>
            <w:tcW w:w="3259" w:type="dxa"/>
          </w:tcPr>
          <w:p w14:paraId="336EAC2B" w14:textId="77777777" w:rsidR="008E39BD" w:rsidRPr="00CB16D0" w:rsidRDefault="008E39BD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</w:tbl>
    <w:p w14:paraId="36216E33" w14:textId="77777777" w:rsidR="008E39BD" w:rsidRPr="00CB16D0" w:rsidRDefault="00FF47A3" w:rsidP="00D51469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16D0">
        <w:rPr>
          <w:rFonts w:ascii="Times New Roman" w:hAnsi="Times New Roman" w:cs="Times New Roman"/>
          <w:sz w:val="24"/>
          <w:szCs w:val="24"/>
        </w:rPr>
        <w:t>Fonte: elaborazione Fondazione per la Su</w:t>
      </w:r>
      <w:r w:rsidR="00F65425" w:rsidRPr="00CB16D0">
        <w:rPr>
          <w:rFonts w:ascii="Times New Roman" w:hAnsi="Times New Roman" w:cs="Times New Roman"/>
          <w:sz w:val="24"/>
          <w:szCs w:val="24"/>
        </w:rPr>
        <w:t>s</w:t>
      </w:r>
      <w:r w:rsidRPr="00CB16D0">
        <w:rPr>
          <w:rFonts w:ascii="Times New Roman" w:hAnsi="Times New Roman" w:cs="Times New Roman"/>
          <w:sz w:val="24"/>
          <w:szCs w:val="24"/>
        </w:rPr>
        <w:t>sidiarietà su dati Eurostat</w:t>
      </w:r>
    </w:p>
    <w:p w14:paraId="3B8D6BD3" w14:textId="77777777" w:rsidR="00A642EE" w:rsidRPr="00CB16D0" w:rsidRDefault="00A642EE" w:rsidP="00571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E5A90" w14:textId="77777777" w:rsidR="00C449FE" w:rsidRPr="00CB16D0" w:rsidRDefault="00E76D81" w:rsidP="00C449FE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0">
        <w:rPr>
          <w:rFonts w:ascii="Times New Roman" w:hAnsi="Times New Roman" w:cs="Times New Roman"/>
          <w:b/>
          <w:sz w:val="24"/>
          <w:szCs w:val="24"/>
        </w:rPr>
        <w:t xml:space="preserve">Gli interventi </w:t>
      </w:r>
      <w:r w:rsidR="00C449FE" w:rsidRPr="00CB16D0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Pr="00CB16D0">
        <w:rPr>
          <w:rFonts w:ascii="Times New Roman" w:hAnsi="Times New Roman" w:cs="Times New Roman"/>
          <w:b/>
          <w:sz w:val="24"/>
          <w:szCs w:val="24"/>
        </w:rPr>
        <w:t>anziani e disabili</w:t>
      </w:r>
      <w:r w:rsidR="00E31262" w:rsidRPr="00CB16D0">
        <w:rPr>
          <w:rFonts w:ascii="Times New Roman" w:hAnsi="Times New Roman" w:cs="Times New Roman"/>
          <w:b/>
          <w:sz w:val="24"/>
          <w:szCs w:val="24"/>
        </w:rPr>
        <w:t xml:space="preserve"> nei maggiori Paesi</w:t>
      </w:r>
    </w:p>
    <w:p w14:paraId="13952925" w14:textId="77777777" w:rsidR="00C449FE" w:rsidRPr="00CB16D0" w:rsidRDefault="00E76D81" w:rsidP="00C449FE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6D0">
        <w:rPr>
          <w:rFonts w:ascii="Times New Roman" w:hAnsi="Times New Roman" w:cs="Times New Roman"/>
          <w:i/>
          <w:sz w:val="24"/>
          <w:szCs w:val="24"/>
        </w:rPr>
        <w:t>Quota % sul prodotto interno lordo</w:t>
      </w:r>
    </w:p>
    <w:p w14:paraId="5C583A52" w14:textId="77777777" w:rsidR="00E76D81" w:rsidRPr="00CB16D0" w:rsidRDefault="00E76D81" w:rsidP="00C449FE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C449FE" w:rsidRPr="00CB16D0" w14:paraId="78C833D0" w14:textId="77777777" w:rsidTr="008A2622">
        <w:tc>
          <w:tcPr>
            <w:tcW w:w="3259" w:type="dxa"/>
          </w:tcPr>
          <w:p w14:paraId="3FC23960" w14:textId="77777777" w:rsidR="00C449FE" w:rsidRPr="00CB16D0" w:rsidRDefault="00C449FE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Paese</w:t>
            </w:r>
          </w:p>
        </w:tc>
        <w:tc>
          <w:tcPr>
            <w:tcW w:w="3259" w:type="dxa"/>
          </w:tcPr>
          <w:p w14:paraId="191FECB2" w14:textId="77777777" w:rsidR="00C449FE" w:rsidRPr="00CB16D0" w:rsidRDefault="00C449FE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Quota %</w:t>
            </w:r>
          </w:p>
        </w:tc>
      </w:tr>
      <w:tr w:rsidR="00C449FE" w:rsidRPr="00CB16D0" w14:paraId="7BF6A81E" w14:textId="77777777" w:rsidTr="008A2622">
        <w:tc>
          <w:tcPr>
            <w:tcW w:w="3259" w:type="dxa"/>
          </w:tcPr>
          <w:p w14:paraId="3378B9E2" w14:textId="77777777" w:rsidR="00C449FE" w:rsidRPr="00CB16D0" w:rsidRDefault="00C449FE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Germania</w:t>
            </w:r>
          </w:p>
        </w:tc>
        <w:tc>
          <w:tcPr>
            <w:tcW w:w="3259" w:type="dxa"/>
          </w:tcPr>
          <w:p w14:paraId="397FEEBD" w14:textId="77777777" w:rsidR="00C449FE" w:rsidRPr="00CB16D0" w:rsidRDefault="00A32FF0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32FF0" w:rsidRPr="00CB16D0" w14:paraId="57D0C72D" w14:textId="77777777" w:rsidTr="008A2622">
        <w:tc>
          <w:tcPr>
            <w:tcW w:w="3259" w:type="dxa"/>
          </w:tcPr>
          <w:p w14:paraId="409C7079" w14:textId="77777777" w:rsidR="00A32FF0" w:rsidRPr="00CB16D0" w:rsidRDefault="00A32FF0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Gran Bretagna</w:t>
            </w:r>
          </w:p>
        </w:tc>
        <w:tc>
          <w:tcPr>
            <w:tcW w:w="3259" w:type="dxa"/>
          </w:tcPr>
          <w:p w14:paraId="4C93A940" w14:textId="77777777" w:rsidR="00A32FF0" w:rsidRPr="00CB16D0" w:rsidRDefault="00A32FF0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9051F" w:rsidRPr="00CB16D0" w14:paraId="2D2609DA" w14:textId="77777777" w:rsidTr="008A2622">
        <w:tc>
          <w:tcPr>
            <w:tcW w:w="3259" w:type="dxa"/>
          </w:tcPr>
          <w:p w14:paraId="7F75FBC2" w14:textId="77777777" w:rsidR="0069051F" w:rsidRPr="00CB16D0" w:rsidRDefault="0069051F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Francia</w:t>
            </w:r>
          </w:p>
        </w:tc>
        <w:tc>
          <w:tcPr>
            <w:tcW w:w="3259" w:type="dxa"/>
          </w:tcPr>
          <w:p w14:paraId="6C484FB0" w14:textId="77777777" w:rsidR="0069051F" w:rsidRPr="00CB16D0" w:rsidRDefault="0069051F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A32FF0" w:rsidRPr="00CB16D0" w14:paraId="42DB4C0D" w14:textId="77777777" w:rsidTr="008A2622">
        <w:tc>
          <w:tcPr>
            <w:tcW w:w="3259" w:type="dxa"/>
          </w:tcPr>
          <w:p w14:paraId="2754ADDD" w14:textId="77777777" w:rsidR="00A32FF0" w:rsidRPr="00CB16D0" w:rsidRDefault="00A32FF0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Media Ocse</w:t>
            </w:r>
          </w:p>
        </w:tc>
        <w:tc>
          <w:tcPr>
            <w:tcW w:w="3259" w:type="dxa"/>
          </w:tcPr>
          <w:p w14:paraId="769EBD91" w14:textId="77777777" w:rsidR="00A32FF0" w:rsidRPr="00CB16D0" w:rsidRDefault="00A32FF0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9051F" w:rsidRPr="00CB16D0" w14:paraId="3E6BC068" w14:textId="77777777" w:rsidTr="008A2622">
        <w:tc>
          <w:tcPr>
            <w:tcW w:w="3259" w:type="dxa"/>
          </w:tcPr>
          <w:p w14:paraId="7201699C" w14:textId="77777777" w:rsidR="0069051F" w:rsidRPr="00CB16D0" w:rsidRDefault="0069051F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Spagna</w:t>
            </w:r>
          </w:p>
        </w:tc>
        <w:tc>
          <w:tcPr>
            <w:tcW w:w="3259" w:type="dxa"/>
          </w:tcPr>
          <w:p w14:paraId="3B3D6C2D" w14:textId="77777777" w:rsidR="0069051F" w:rsidRPr="00CB16D0" w:rsidRDefault="0069051F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9051F" w:rsidRPr="00CB16D0" w14:paraId="08EB2B03" w14:textId="77777777" w:rsidTr="0069051F">
        <w:tc>
          <w:tcPr>
            <w:tcW w:w="3259" w:type="dxa"/>
          </w:tcPr>
          <w:p w14:paraId="46C12940" w14:textId="77777777" w:rsidR="0069051F" w:rsidRPr="00CB16D0" w:rsidRDefault="0069051F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Italia</w:t>
            </w:r>
          </w:p>
        </w:tc>
        <w:tc>
          <w:tcPr>
            <w:tcW w:w="3259" w:type="dxa"/>
          </w:tcPr>
          <w:p w14:paraId="7B58636C" w14:textId="70D8BCDC" w:rsidR="0069051F" w:rsidRPr="00CB16D0" w:rsidRDefault="0069051F" w:rsidP="00BC6613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20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0DDC079" w14:textId="036E8677" w:rsidR="00C449FE" w:rsidRPr="00CB16D0" w:rsidRDefault="00C449FE" w:rsidP="00C449FE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16D0">
        <w:rPr>
          <w:rFonts w:ascii="Times New Roman" w:hAnsi="Times New Roman" w:cs="Times New Roman"/>
          <w:sz w:val="24"/>
          <w:szCs w:val="24"/>
        </w:rPr>
        <w:t>Fonte: elaborazione Fondazione per la Su</w:t>
      </w:r>
      <w:r w:rsidR="00F65425" w:rsidRPr="00CB16D0">
        <w:rPr>
          <w:rFonts w:ascii="Times New Roman" w:hAnsi="Times New Roman" w:cs="Times New Roman"/>
          <w:sz w:val="24"/>
          <w:szCs w:val="24"/>
        </w:rPr>
        <w:t>s</w:t>
      </w:r>
      <w:r w:rsidRPr="00CB16D0">
        <w:rPr>
          <w:rFonts w:ascii="Times New Roman" w:hAnsi="Times New Roman" w:cs="Times New Roman"/>
          <w:sz w:val="24"/>
          <w:szCs w:val="24"/>
        </w:rPr>
        <w:t xml:space="preserve">sidiarietà su dati </w:t>
      </w:r>
      <w:r w:rsidR="00C04181" w:rsidRPr="00CB16D0">
        <w:rPr>
          <w:rFonts w:ascii="Times New Roman" w:hAnsi="Times New Roman" w:cs="Times New Roman"/>
          <w:sz w:val="24"/>
          <w:szCs w:val="24"/>
        </w:rPr>
        <w:t>Ocse</w:t>
      </w:r>
      <w:r w:rsidR="006F574A">
        <w:rPr>
          <w:rFonts w:ascii="Times New Roman" w:hAnsi="Times New Roman" w:cs="Times New Roman"/>
          <w:sz w:val="24"/>
          <w:szCs w:val="24"/>
        </w:rPr>
        <w:t xml:space="preserve"> 2018, o ultimi disponibili</w:t>
      </w:r>
    </w:p>
    <w:p w14:paraId="162DA625" w14:textId="77777777" w:rsidR="00BC6613" w:rsidRPr="00CB16D0" w:rsidRDefault="00BC6613" w:rsidP="00C449FE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04B9827" w14:textId="77777777" w:rsidR="00D23C44" w:rsidRPr="00CB16D0" w:rsidRDefault="00A32662" w:rsidP="00D23C44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6D0">
        <w:rPr>
          <w:rFonts w:ascii="Times New Roman" w:hAnsi="Times New Roman" w:cs="Times New Roman"/>
          <w:b/>
          <w:sz w:val="24"/>
          <w:szCs w:val="24"/>
        </w:rPr>
        <w:t>E</w:t>
      </w:r>
      <w:r w:rsidR="00D23C44" w:rsidRPr="00CB16D0">
        <w:rPr>
          <w:rFonts w:ascii="Times New Roman" w:hAnsi="Times New Roman" w:cs="Times New Roman"/>
          <w:b/>
          <w:sz w:val="24"/>
          <w:szCs w:val="24"/>
        </w:rPr>
        <w:t>vol</w:t>
      </w:r>
      <w:r w:rsidRPr="00CB16D0">
        <w:rPr>
          <w:rFonts w:ascii="Times New Roman" w:hAnsi="Times New Roman" w:cs="Times New Roman"/>
          <w:b/>
          <w:sz w:val="24"/>
          <w:szCs w:val="24"/>
        </w:rPr>
        <w:t>uzione</w:t>
      </w:r>
      <w:r w:rsidR="00D23C44" w:rsidRPr="00CB1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6D0">
        <w:rPr>
          <w:rFonts w:ascii="Times New Roman" w:hAnsi="Times New Roman" w:cs="Times New Roman"/>
          <w:b/>
          <w:sz w:val="24"/>
          <w:szCs w:val="24"/>
        </w:rPr>
        <w:t>del</w:t>
      </w:r>
      <w:r w:rsidR="00D23C44" w:rsidRPr="00CB16D0">
        <w:rPr>
          <w:rFonts w:ascii="Times New Roman" w:hAnsi="Times New Roman" w:cs="Times New Roman"/>
          <w:b/>
          <w:sz w:val="24"/>
          <w:szCs w:val="24"/>
        </w:rPr>
        <w:t>l'offerta di posti letto per anziani e disabili in Italia</w:t>
      </w:r>
    </w:p>
    <w:p w14:paraId="1F1911A5" w14:textId="77777777" w:rsidR="00D23C44" w:rsidRPr="00CB16D0" w:rsidRDefault="00D23C44" w:rsidP="00D23C44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6D0">
        <w:rPr>
          <w:rFonts w:ascii="Times New Roman" w:hAnsi="Times New Roman" w:cs="Times New Roman"/>
          <w:i/>
          <w:sz w:val="24"/>
          <w:szCs w:val="24"/>
        </w:rPr>
        <w:t>Quota % sul totale</w:t>
      </w:r>
    </w:p>
    <w:p w14:paraId="1FC6BBFD" w14:textId="77777777" w:rsidR="00D23C44" w:rsidRPr="00CB16D0" w:rsidRDefault="00D23C44" w:rsidP="00D23C44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D23C44" w:rsidRPr="00CB16D0" w14:paraId="1DF2525E" w14:textId="77777777" w:rsidTr="00A32662">
        <w:tc>
          <w:tcPr>
            <w:tcW w:w="1701" w:type="dxa"/>
          </w:tcPr>
          <w:p w14:paraId="2626929B" w14:textId="77777777" w:rsidR="00D23C44" w:rsidRPr="00CB16D0" w:rsidRDefault="00D23C44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Soggetti</w:t>
            </w:r>
          </w:p>
        </w:tc>
        <w:tc>
          <w:tcPr>
            <w:tcW w:w="1701" w:type="dxa"/>
          </w:tcPr>
          <w:p w14:paraId="30D318E7" w14:textId="77777777" w:rsidR="00D23C44" w:rsidRPr="00CB16D0" w:rsidRDefault="00D23C44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701" w:type="dxa"/>
          </w:tcPr>
          <w:p w14:paraId="2D6F3288" w14:textId="77777777" w:rsidR="00D23C44" w:rsidRPr="00CB16D0" w:rsidRDefault="00D23C44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23C44" w:rsidRPr="00CB16D0" w14:paraId="43042F04" w14:textId="77777777" w:rsidTr="00A32662">
        <w:tc>
          <w:tcPr>
            <w:tcW w:w="1701" w:type="dxa"/>
          </w:tcPr>
          <w:p w14:paraId="744E9425" w14:textId="77777777" w:rsidR="00D23C44" w:rsidRPr="00CB16D0" w:rsidRDefault="00D23C44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Pubblico</w:t>
            </w:r>
          </w:p>
        </w:tc>
        <w:tc>
          <w:tcPr>
            <w:tcW w:w="1701" w:type="dxa"/>
          </w:tcPr>
          <w:p w14:paraId="059651E5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701" w:type="dxa"/>
          </w:tcPr>
          <w:p w14:paraId="72D07ACE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D23C44" w:rsidRPr="00CB16D0" w14:paraId="69C4A6E6" w14:textId="77777777" w:rsidTr="00A32662">
        <w:tc>
          <w:tcPr>
            <w:tcW w:w="1701" w:type="dxa"/>
          </w:tcPr>
          <w:p w14:paraId="128C81CD" w14:textId="77777777" w:rsidR="00D23C44" w:rsidRPr="00CB16D0" w:rsidRDefault="00D23C44" w:rsidP="00F0016C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F0016C" w:rsidRPr="00CB16D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 xml:space="preserve"> profit</w:t>
            </w:r>
          </w:p>
        </w:tc>
        <w:tc>
          <w:tcPr>
            <w:tcW w:w="1701" w:type="dxa"/>
          </w:tcPr>
          <w:p w14:paraId="335C44AE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14:paraId="75C38B51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</w:tr>
      <w:tr w:rsidR="00D23C44" w:rsidRPr="00CB16D0" w14:paraId="4DBBCF2C" w14:textId="77777777" w:rsidTr="00A32662">
        <w:tc>
          <w:tcPr>
            <w:tcW w:w="1701" w:type="dxa"/>
          </w:tcPr>
          <w:p w14:paraId="3843A4CA" w14:textId="77777777" w:rsidR="00D23C44" w:rsidRPr="00CB16D0" w:rsidRDefault="00D23C44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Privato</w:t>
            </w:r>
          </w:p>
        </w:tc>
        <w:tc>
          <w:tcPr>
            <w:tcW w:w="1701" w:type="dxa"/>
          </w:tcPr>
          <w:p w14:paraId="1615AE0E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701" w:type="dxa"/>
          </w:tcPr>
          <w:p w14:paraId="58C30C4D" w14:textId="77777777" w:rsidR="00D23C44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055FBB" w:rsidRPr="00CB16D0" w14:paraId="51950E3B" w14:textId="77777777" w:rsidTr="00A32662">
        <w:tc>
          <w:tcPr>
            <w:tcW w:w="1701" w:type="dxa"/>
          </w:tcPr>
          <w:p w14:paraId="3907A5B9" w14:textId="77777777" w:rsidR="00055FBB" w:rsidRPr="00CB16D0" w:rsidRDefault="00055FBB" w:rsidP="008A2622">
            <w:pPr>
              <w:pStyle w:val="ydp6007faf4defaul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1701" w:type="dxa"/>
          </w:tcPr>
          <w:p w14:paraId="756D82C5" w14:textId="77777777" w:rsidR="00055FBB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14:paraId="053EB43C" w14:textId="77777777" w:rsidR="00055FBB" w:rsidRPr="00CB16D0" w:rsidRDefault="00055FBB" w:rsidP="00A32662">
            <w:pPr>
              <w:pStyle w:val="ydp6007faf4defaul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E4FBC42" w14:textId="77777777" w:rsidR="00887B85" w:rsidRPr="00CB16D0" w:rsidRDefault="00D23C44" w:rsidP="00055FBB">
      <w:pPr>
        <w:pStyle w:val="ydp6007faf4default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B16D0">
        <w:rPr>
          <w:rFonts w:ascii="Times New Roman" w:hAnsi="Times New Roman" w:cs="Times New Roman"/>
          <w:sz w:val="24"/>
          <w:szCs w:val="24"/>
        </w:rPr>
        <w:t>Fonte: elaborazione Fondazione per la Su</w:t>
      </w:r>
      <w:r w:rsidR="00F65425" w:rsidRPr="00CB16D0">
        <w:rPr>
          <w:rFonts w:ascii="Times New Roman" w:hAnsi="Times New Roman" w:cs="Times New Roman"/>
          <w:sz w:val="24"/>
          <w:szCs w:val="24"/>
        </w:rPr>
        <w:t>s</w:t>
      </w:r>
      <w:r w:rsidRPr="00CB16D0">
        <w:rPr>
          <w:rFonts w:ascii="Times New Roman" w:hAnsi="Times New Roman" w:cs="Times New Roman"/>
          <w:sz w:val="24"/>
          <w:szCs w:val="24"/>
        </w:rPr>
        <w:t xml:space="preserve">sidiarietà su dati </w:t>
      </w:r>
      <w:r w:rsidR="00055FBB" w:rsidRPr="00CB16D0">
        <w:rPr>
          <w:rFonts w:ascii="Times New Roman" w:hAnsi="Times New Roman" w:cs="Times New Roman"/>
          <w:sz w:val="24"/>
          <w:szCs w:val="24"/>
        </w:rPr>
        <w:t>Istat</w:t>
      </w:r>
    </w:p>
    <w:p w14:paraId="33F60D1D" w14:textId="77777777" w:rsidR="006C4DA3" w:rsidRPr="00CB16D0" w:rsidRDefault="006C4DA3" w:rsidP="00571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4DA3" w:rsidRPr="00CB16D0" w:rsidSect="00462F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4386" w14:textId="77777777" w:rsidR="00866568" w:rsidRDefault="00866568" w:rsidP="004D397C">
      <w:pPr>
        <w:spacing w:after="0" w:line="240" w:lineRule="auto"/>
      </w:pPr>
      <w:r>
        <w:separator/>
      </w:r>
    </w:p>
  </w:endnote>
  <w:endnote w:type="continuationSeparator" w:id="0">
    <w:p w14:paraId="0C98DA5C" w14:textId="77777777" w:rsidR="00866568" w:rsidRDefault="00866568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3D57" w14:textId="77777777"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</w:t>
    </w:r>
    <w:proofErr w:type="spellStart"/>
    <w:r w:rsidRPr="001E5954">
      <w:rPr>
        <w:rFonts w:asciiTheme="majorHAnsi" w:hAnsiTheme="majorHAnsi"/>
        <w:b/>
      </w:rPr>
      <w:t>Legnone</w:t>
    </w:r>
    <w:proofErr w:type="spellEnd"/>
    <w:r w:rsidRPr="001E5954">
      <w:rPr>
        <w:rFonts w:asciiTheme="majorHAnsi" w:hAnsiTheme="majorHAnsi"/>
        <w:b/>
      </w:rPr>
      <w:t xml:space="preserve">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9A6C50">
      <w:fldChar w:fldCharType="begin"/>
    </w:r>
    <w:r w:rsidR="00796835">
      <w:instrText xml:space="preserve"> PAGE   \* MERGEFORMAT </w:instrText>
    </w:r>
    <w:r w:rsidR="009A6C50">
      <w:fldChar w:fldCharType="separate"/>
    </w:r>
    <w:r w:rsidR="00E03BD3" w:rsidRPr="00E03BD3">
      <w:rPr>
        <w:rFonts w:asciiTheme="majorHAnsi" w:hAnsiTheme="majorHAnsi"/>
        <w:noProof/>
      </w:rPr>
      <w:t>2</w:t>
    </w:r>
    <w:r w:rsidR="009A6C50">
      <w:rPr>
        <w:rFonts w:asciiTheme="majorHAnsi" w:hAnsiTheme="majorHAnsi"/>
        <w:noProof/>
      </w:rPr>
      <w:fldChar w:fldCharType="end"/>
    </w:r>
  </w:p>
  <w:p w14:paraId="4FBE01BB" w14:textId="77777777" w:rsidR="001E5954" w:rsidRDefault="001E5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E2E9" w14:textId="77777777" w:rsidR="00866568" w:rsidRDefault="00866568" w:rsidP="004D397C">
      <w:pPr>
        <w:spacing w:after="0" w:line="240" w:lineRule="auto"/>
      </w:pPr>
      <w:r>
        <w:separator/>
      </w:r>
    </w:p>
  </w:footnote>
  <w:footnote w:type="continuationSeparator" w:id="0">
    <w:p w14:paraId="06077D9C" w14:textId="77777777" w:rsidR="00866568" w:rsidRDefault="00866568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52AF" w14:textId="77777777"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0F1BCD5" wp14:editId="74E60800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6ACCDA" w14:textId="77777777" w:rsidR="004D397C" w:rsidRDefault="004D39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F7A"/>
    <w:multiLevelType w:val="multilevel"/>
    <w:tmpl w:val="83E0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C"/>
    <w:rsid w:val="0000248A"/>
    <w:rsid w:val="00007B79"/>
    <w:rsid w:val="00033C05"/>
    <w:rsid w:val="0003425D"/>
    <w:rsid w:val="00034EA9"/>
    <w:rsid w:val="00042951"/>
    <w:rsid w:val="00045508"/>
    <w:rsid w:val="00055FBB"/>
    <w:rsid w:val="000666E8"/>
    <w:rsid w:val="00066F7F"/>
    <w:rsid w:val="00071C9D"/>
    <w:rsid w:val="0009166A"/>
    <w:rsid w:val="00097077"/>
    <w:rsid w:val="000A7EFC"/>
    <w:rsid w:val="000C1AB3"/>
    <w:rsid w:val="000C6528"/>
    <w:rsid w:val="000D296F"/>
    <w:rsid w:val="000D4712"/>
    <w:rsid w:val="000D5BC8"/>
    <w:rsid w:val="000F4C87"/>
    <w:rsid w:val="00105A98"/>
    <w:rsid w:val="00124E52"/>
    <w:rsid w:val="00133943"/>
    <w:rsid w:val="001429AA"/>
    <w:rsid w:val="001431EE"/>
    <w:rsid w:val="001442C8"/>
    <w:rsid w:val="0015405B"/>
    <w:rsid w:val="001715A7"/>
    <w:rsid w:val="00177B80"/>
    <w:rsid w:val="00182FB1"/>
    <w:rsid w:val="00183E7A"/>
    <w:rsid w:val="001846EE"/>
    <w:rsid w:val="00187A98"/>
    <w:rsid w:val="001967D8"/>
    <w:rsid w:val="001B2175"/>
    <w:rsid w:val="001C22AD"/>
    <w:rsid w:val="001E5954"/>
    <w:rsid w:val="001F6DA7"/>
    <w:rsid w:val="001F773E"/>
    <w:rsid w:val="00203FE2"/>
    <w:rsid w:val="00206ADA"/>
    <w:rsid w:val="00207487"/>
    <w:rsid w:val="00214840"/>
    <w:rsid w:val="00223320"/>
    <w:rsid w:val="00223403"/>
    <w:rsid w:val="00234895"/>
    <w:rsid w:val="00241052"/>
    <w:rsid w:val="00255304"/>
    <w:rsid w:val="00256792"/>
    <w:rsid w:val="00260062"/>
    <w:rsid w:val="00290A5B"/>
    <w:rsid w:val="00292EBC"/>
    <w:rsid w:val="002A02BD"/>
    <w:rsid w:val="002C4D49"/>
    <w:rsid w:val="002C6BD2"/>
    <w:rsid w:val="002E1F76"/>
    <w:rsid w:val="002E3F0C"/>
    <w:rsid w:val="0030371D"/>
    <w:rsid w:val="00303BC4"/>
    <w:rsid w:val="003120B2"/>
    <w:rsid w:val="00312940"/>
    <w:rsid w:val="003414F2"/>
    <w:rsid w:val="00346095"/>
    <w:rsid w:val="0034683B"/>
    <w:rsid w:val="00384AFE"/>
    <w:rsid w:val="0038659F"/>
    <w:rsid w:val="0039083D"/>
    <w:rsid w:val="00391590"/>
    <w:rsid w:val="0039790B"/>
    <w:rsid w:val="003B7BAF"/>
    <w:rsid w:val="003C70BE"/>
    <w:rsid w:val="003D39BA"/>
    <w:rsid w:val="003D49D3"/>
    <w:rsid w:val="003E1455"/>
    <w:rsid w:val="003F342E"/>
    <w:rsid w:val="00402668"/>
    <w:rsid w:val="00402DA9"/>
    <w:rsid w:val="00411CD8"/>
    <w:rsid w:val="00422A48"/>
    <w:rsid w:val="00427F0C"/>
    <w:rsid w:val="00431A31"/>
    <w:rsid w:val="004326C4"/>
    <w:rsid w:val="00432FF0"/>
    <w:rsid w:val="00442146"/>
    <w:rsid w:val="00442649"/>
    <w:rsid w:val="00446F20"/>
    <w:rsid w:val="00462F02"/>
    <w:rsid w:val="00463346"/>
    <w:rsid w:val="00474D80"/>
    <w:rsid w:val="00494286"/>
    <w:rsid w:val="0049518D"/>
    <w:rsid w:val="00496FF8"/>
    <w:rsid w:val="00497492"/>
    <w:rsid w:val="004A1C4D"/>
    <w:rsid w:val="004B616C"/>
    <w:rsid w:val="004C531D"/>
    <w:rsid w:val="004C797B"/>
    <w:rsid w:val="004D397C"/>
    <w:rsid w:val="004D3C1C"/>
    <w:rsid w:val="004D46CC"/>
    <w:rsid w:val="004E08DC"/>
    <w:rsid w:val="004F1F55"/>
    <w:rsid w:val="00513488"/>
    <w:rsid w:val="00533635"/>
    <w:rsid w:val="005349E0"/>
    <w:rsid w:val="00534B74"/>
    <w:rsid w:val="0055043E"/>
    <w:rsid w:val="00552590"/>
    <w:rsid w:val="00561ACE"/>
    <w:rsid w:val="0056633F"/>
    <w:rsid w:val="00566DE2"/>
    <w:rsid w:val="00571D04"/>
    <w:rsid w:val="00573C56"/>
    <w:rsid w:val="00582785"/>
    <w:rsid w:val="00591907"/>
    <w:rsid w:val="005A069C"/>
    <w:rsid w:val="005A2791"/>
    <w:rsid w:val="005A3835"/>
    <w:rsid w:val="005B2D14"/>
    <w:rsid w:val="005B6F40"/>
    <w:rsid w:val="005D670F"/>
    <w:rsid w:val="005E13BA"/>
    <w:rsid w:val="005E68F3"/>
    <w:rsid w:val="006129D4"/>
    <w:rsid w:val="00616149"/>
    <w:rsid w:val="00617123"/>
    <w:rsid w:val="006333DE"/>
    <w:rsid w:val="00647877"/>
    <w:rsid w:val="0065170F"/>
    <w:rsid w:val="006566FF"/>
    <w:rsid w:val="00673E45"/>
    <w:rsid w:val="00684645"/>
    <w:rsid w:val="0069001B"/>
    <w:rsid w:val="0069051F"/>
    <w:rsid w:val="0069154F"/>
    <w:rsid w:val="00691BD6"/>
    <w:rsid w:val="006B0F07"/>
    <w:rsid w:val="006C2260"/>
    <w:rsid w:val="006C4DA3"/>
    <w:rsid w:val="006D5908"/>
    <w:rsid w:val="006E40E2"/>
    <w:rsid w:val="006E68B7"/>
    <w:rsid w:val="006F574A"/>
    <w:rsid w:val="007241DC"/>
    <w:rsid w:val="00774595"/>
    <w:rsid w:val="00781038"/>
    <w:rsid w:val="00786563"/>
    <w:rsid w:val="00796835"/>
    <w:rsid w:val="007A31C2"/>
    <w:rsid w:val="007A3D2C"/>
    <w:rsid w:val="007A54C5"/>
    <w:rsid w:val="007B2EE2"/>
    <w:rsid w:val="007B366E"/>
    <w:rsid w:val="007B5DD7"/>
    <w:rsid w:val="007C79C3"/>
    <w:rsid w:val="007C7EFC"/>
    <w:rsid w:val="007D75E3"/>
    <w:rsid w:val="007F3A4E"/>
    <w:rsid w:val="007F5C5B"/>
    <w:rsid w:val="0080096F"/>
    <w:rsid w:val="00804712"/>
    <w:rsid w:val="00812132"/>
    <w:rsid w:val="00813C51"/>
    <w:rsid w:val="00817E2A"/>
    <w:rsid w:val="00820DD3"/>
    <w:rsid w:val="008315B8"/>
    <w:rsid w:val="00836DA8"/>
    <w:rsid w:val="0084018C"/>
    <w:rsid w:val="00842B60"/>
    <w:rsid w:val="00842BFE"/>
    <w:rsid w:val="008433F3"/>
    <w:rsid w:val="00847444"/>
    <w:rsid w:val="00854863"/>
    <w:rsid w:val="00855B4B"/>
    <w:rsid w:val="00866568"/>
    <w:rsid w:val="008723E8"/>
    <w:rsid w:val="00876ABD"/>
    <w:rsid w:val="008811E8"/>
    <w:rsid w:val="00883B8B"/>
    <w:rsid w:val="00887B85"/>
    <w:rsid w:val="00892CFD"/>
    <w:rsid w:val="00894841"/>
    <w:rsid w:val="008B7E0C"/>
    <w:rsid w:val="008C330C"/>
    <w:rsid w:val="008D0C16"/>
    <w:rsid w:val="008E34BC"/>
    <w:rsid w:val="008E39BD"/>
    <w:rsid w:val="008E645D"/>
    <w:rsid w:val="008F1C1A"/>
    <w:rsid w:val="008F28C6"/>
    <w:rsid w:val="008F4B34"/>
    <w:rsid w:val="00910621"/>
    <w:rsid w:val="009231CD"/>
    <w:rsid w:val="00932586"/>
    <w:rsid w:val="0094425E"/>
    <w:rsid w:val="00946A6A"/>
    <w:rsid w:val="00950838"/>
    <w:rsid w:val="00956644"/>
    <w:rsid w:val="00957BE9"/>
    <w:rsid w:val="00960C16"/>
    <w:rsid w:val="00976EAD"/>
    <w:rsid w:val="00983B0A"/>
    <w:rsid w:val="00984FB9"/>
    <w:rsid w:val="00987BC6"/>
    <w:rsid w:val="009A2BDC"/>
    <w:rsid w:val="009A6C50"/>
    <w:rsid w:val="009B128C"/>
    <w:rsid w:val="009C6DDF"/>
    <w:rsid w:val="009C6E80"/>
    <w:rsid w:val="009E5BB5"/>
    <w:rsid w:val="009F2C66"/>
    <w:rsid w:val="009F4564"/>
    <w:rsid w:val="00A032F1"/>
    <w:rsid w:val="00A049BD"/>
    <w:rsid w:val="00A05418"/>
    <w:rsid w:val="00A05427"/>
    <w:rsid w:val="00A20B6A"/>
    <w:rsid w:val="00A23E42"/>
    <w:rsid w:val="00A24678"/>
    <w:rsid w:val="00A32662"/>
    <w:rsid w:val="00A32FF0"/>
    <w:rsid w:val="00A37B7F"/>
    <w:rsid w:val="00A4407F"/>
    <w:rsid w:val="00A4587E"/>
    <w:rsid w:val="00A47D33"/>
    <w:rsid w:val="00A57F2D"/>
    <w:rsid w:val="00A63B7F"/>
    <w:rsid w:val="00A63F95"/>
    <w:rsid w:val="00A642EE"/>
    <w:rsid w:val="00A66622"/>
    <w:rsid w:val="00A83365"/>
    <w:rsid w:val="00A9488D"/>
    <w:rsid w:val="00A94D1E"/>
    <w:rsid w:val="00A954FB"/>
    <w:rsid w:val="00AA105D"/>
    <w:rsid w:val="00AA2732"/>
    <w:rsid w:val="00AB03DA"/>
    <w:rsid w:val="00AB1CBA"/>
    <w:rsid w:val="00AC498E"/>
    <w:rsid w:val="00AD0C2C"/>
    <w:rsid w:val="00AE1549"/>
    <w:rsid w:val="00AE4E83"/>
    <w:rsid w:val="00AF0652"/>
    <w:rsid w:val="00AF4455"/>
    <w:rsid w:val="00B04385"/>
    <w:rsid w:val="00B056AE"/>
    <w:rsid w:val="00B06387"/>
    <w:rsid w:val="00B22CFD"/>
    <w:rsid w:val="00B355A6"/>
    <w:rsid w:val="00B43BC1"/>
    <w:rsid w:val="00B534B9"/>
    <w:rsid w:val="00B541BE"/>
    <w:rsid w:val="00B561EF"/>
    <w:rsid w:val="00B62157"/>
    <w:rsid w:val="00B62C29"/>
    <w:rsid w:val="00B76157"/>
    <w:rsid w:val="00B77391"/>
    <w:rsid w:val="00B810B6"/>
    <w:rsid w:val="00B81D9D"/>
    <w:rsid w:val="00B87D1D"/>
    <w:rsid w:val="00B92329"/>
    <w:rsid w:val="00BA29F0"/>
    <w:rsid w:val="00BB36C2"/>
    <w:rsid w:val="00BC3C6A"/>
    <w:rsid w:val="00BC52D1"/>
    <w:rsid w:val="00BC6613"/>
    <w:rsid w:val="00BD46F4"/>
    <w:rsid w:val="00BD7D3D"/>
    <w:rsid w:val="00BF33E0"/>
    <w:rsid w:val="00BF4552"/>
    <w:rsid w:val="00BF5EEF"/>
    <w:rsid w:val="00C04181"/>
    <w:rsid w:val="00C2653B"/>
    <w:rsid w:val="00C41D57"/>
    <w:rsid w:val="00C428E7"/>
    <w:rsid w:val="00C449FE"/>
    <w:rsid w:val="00C50EF2"/>
    <w:rsid w:val="00C53059"/>
    <w:rsid w:val="00C75CC7"/>
    <w:rsid w:val="00C913D7"/>
    <w:rsid w:val="00C9167C"/>
    <w:rsid w:val="00C9296E"/>
    <w:rsid w:val="00CB16D0"/>
    <w:rsid w:val="00CB6F07"/>
    <w:rsid w:val="00CC6E22"/>
    <w:rsid w:val="00CD50BE"/>
    <w:rsid w:val="00CD7BC3"/>
    <w:rsid w:val="00CE095D"/>
    <w:rsid w:val="00CE2461"/>
    <w:rsid w:val="00CE7CA6"/>
    <w:rsid w:val="00CF6000"/>
    <w:rsid w:val="00CF6C7A"/>
    <w:rsid w:val="00D0051D"/>
    <w:rsid w:val="00D21DB4"/>
    <w:rsid w:val="00D22ED9"/>
    <w:rsid w:val="00D23C44"/>
    <w:rsid w:val="00D269BA"/>
    <w:rsid w:val="00D34729"/>
    <w:rsid w:val="00D431C8"/>
    <w:rsid w:val="00D50390"/>
    <w:rsid w:val="00D51469"/>
    <w:rsid w:val="00D544B6"/>
    <w:rsid w:val="00D61AFE"/>
    <w:rsid w:val="00D61FEA"/>
    <w:rsid w:val="00D72AC6"/>
    <w:rsid w:val="00D74BE1"/>
    <w:rsid w:val="00D77F00"/>
    <w:rsid w:val="00D816C8"/>
    <w:rsid w:val="00D81888"/>
    <w:rsid w:val="00D90823"/>
    <w:rsid w:val="00D967EC"/>
    <w:rsid w:val="00DA310E"/>
    <w:rsid w:val="00DA55A3"/>
    <w:rsid w:val="00DA677A"/>
    <w:rsid w:val="00DC077B"/>
    <w:rsid w:val="00DC5FBC"/>
    <w:rsid w:val="00DC718E"/>
    <w:rsid w:val="00DD1D85"/>
    <w:rsid w:val="00DD3CC9"/>
    <w:rsid w:val="00DD43BE"/>
    <w:rsid w:val="00DE0105"/>
    <w:rsid w:val="00DE461B"/>
    <w:rsid w:val="00DE5AC6"/>
    <w:rsid w:val="00DE66FA"/>
    <w:rsid w:val="00DE743A"/>
    <w:rsid w:val="00DF6A71"/>
    <w:rsid w:val="00DF7394"/>
    <w:rsid w:val="00E03BD3"/>
    <w:rsid w:val="00E102BC"/>
    <w:rsid w:val="00E269A4"/>
    <w:rsid w:val="00E31262"/>
    <w:rsid w:val="00E42AE4"/>
    <w:rsid w:val="00E51925"/>
    <w:rsid w:val="00E532B1"/>
    <w:rsid w:val="00E56A5C"/>
    <w:rsid w:val="00E76D81"/>
    <w:rsid w:val="00E933B0"/>
    <w:rsid w:val="00E95C85"/>
    <w:rsid w:val="00E9723B"/>
    <w:rsid w:val="00EA1848"/>
    <w:rsid w:val="00EA6302"/>
    <w:rsid w:val="00EB055C"/>
    <w:rsid w:val="00EB1AD0"/>
    <w:rsid w:val="00EB5ACA"/>
    <w:rsid w:val="00EB6BA2"/>
    <w:rsid w:val="00EE1048"/>
    <w:rsid w:val="00EE43E8"/>
    <w:rsid w:val="00EE58E5"/>
    <w:rsid w:val="00EE665A"/>
    <w:rsid w:val="00EF1CD1"/>
    <w:rsid w:val="00F0016C"/>
    <w:rsid w:val="00F03DDD"/>
    <w:rsid w:val="00F06BE8"/>
    <w:rsid w:val="00F117D3"/>
    <w:rsid w:val="00F17036"/>
    <w:rsid w:val="00F20359"/>
    <w:rsid w:val="00F23D05"/>
    <w:rsid w:val="00F25D86"/>
    <w:rsid w:val="00F374F4"/>
    <w:rsid w:val="00F46971"/>
    <w:rsid w:val="00F46EF8"/>
    <w:rsid w:val="00F51710"/>
    <w:rsid w:val="00F65425"/>
    <w:rsid w:val="00F7223F"/>
    <w:rsid w:val="00F74CED"/>
    <w:rsid w:val="00F81A86"/>
    <w:rsid w:val="00F86C34"/>
    <w:rsid w:val="00FA0F8B"/>
    <w:rsid w:val="00FA4A55"/>
    <w:rsid w:val="00FC35A2"/>
    <w:rsid w:val="00FC52FD"/>
    <w:rsid w:val="00FD0055"/>
    <w:rsid w:val="00FD16FC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895D"/>
  <w15:docId w15:val="{C9B9089C-7CED-F14E-88F1-2E3C50C6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paragraph" w:customStyle="1" w:styleId="ydp6007faf4msonormal">
    <w:name w:val="ydp6007faf4msonormal"/>
    <w:basedOn w:val="Normale"/>
    <w:rsid w:val="00571D0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ydp6007faf4default">
    <w:name w:val="ydp6007faf4default"/>
    <w:basedOn w:val="Normale"/>
    <w:rsid w:val="00571D0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table" w:styleId="Grigliatabella">
    <w:name w:val="Table Grid"/>
    <w:basedOn w:val="Tabellanormale"/>
    <w:uiPriority w:val="39"/>
    <w:rsid w:val="0038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C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0519301001msonormal">
    <w:name w:val="yiv0519301001msonormal"/>
    <w:basedOn w:val="Normale"/>
    <w:rsid w:val="00D90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7494">
          <w:marLeft w:val="-53"/>
          <w:marRight w:val="-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451">
                  <w:marLeft w:val="0"/>
                  <w:marRight w:val="0"/>
                  <w:marTop w:val="0"/>
                  <w:marBottom w:val="0"/>
                  <w:divBdr>
                    <w:top w:val="single" w:sz="2" w:space="2" w:color="E0E4E9"/>
                    <w:left w:val="single" w:sz="2" w:space="1" w:color="E0E4E9"/>
                    <w:bottom w:val="single" w:sz="2" w:space="2" w:color="E0E4E9"/>
                    <w:right w:val="single" w:sz="2" w:space="1" w:color="E0E4E9"/>
                  </w:divBdr>
                </w:div>
              </w:divsChild>
            </w:div>
          </w:divsChild>
        </w:div>
      </w:divsChild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569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3" w:color="CCCCCC"/>
                    <w:bottom w:val="none" w:sz="0" w:space="0" w:color="auto"/>
                    <w:right w:val="none" w:sz="0" w:space="0" w:color="auto"/>
                  </w:divBdr>
                  <w:divsChild>
                    <w:div w:id="9097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FEBA7-0985-4AC7-BC37-0DCE27E3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1111</Words>
  <Characters>6716</Characters>
  <Application>Microsoft Office Word</Application>
  <DocSecurity>0</DocSecurity>
  <Lines>113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Microsoft Office User</cp:lastModifiedBy>
  <cp:revision>4</cp:revision>
  <cp:lastPrinted>2021-11-23T10:11:00Z</cp:lastPrinted>
  <dcterms:created xsi:type="dcterms:W3CDTF">2021-11-23T11:40:00Z</dcterms:created>
  <dcterms:modified xsi:type="dcterms:W3CDTF">2021-11-23T11:54:00Z</dcterms:modified>
</cp:coreProperties>
</file>